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54EF0C">
      <w:pPr>
        <w:spacing w:line="560" w:lineRule="exact"/>
        <w:ind w:right="848"/>
        <w:jc w:val="center"/>
        <w:rPr>
          <w:rFonts w:ascii="宋体" w:cs="Times New Roman"/>
          <w:b/>
          <w:bCs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</w:rPr>
        <w:t>证券代码：</w:t>
      </w:r>
      <w:r>
        <w:rPr>
          <w:rFonts w:ascii="宋体" w:hAnsi="宋体" w:cs="宋体"/>
          <w:b/>
          <w:bCs/>
          <w:sz w:val="24"/>
          <w:szCs w:val="24"/>
        </w:rPr>
        <w:t xml:space="preserve">600971     </w:t>
      </w:r>
      <w:r>
        <w:rPr>
          <w:rFonts w:hint="eastAsia" w:ascii="宋体" w:hAnsi="宋体" w:cs="宋体"/>
          <w:b/>
          <w:bCs/>
          <w:sz w:val="24"/>
          <w:szCs w:val="24"/>
        </w:rPr>
        <w:t>证券简称：恒源煤电</w:t>
      </w:r>
      <w:r>
        <w:rPr>
          <w:rFonts w:ascii="宋体" w:hAnsi="宋体" w:cs="宋体"/>
          <w:b/>
          <w:bCs/>
          <w:sz w:val="24"/>
          <w:szCs w:val="24"/>
        </w:rPr>
        <w:t xml:space="preserve">    </w:t>
      </w:r>
      <w:r>
        <w:rPr>
          <w:rFonts w:hint="eastAsia" w:ascii="宋体" w:hAnsi="宋体" w:cs="宋体"/>
          <w:b/>
          <w:bCs/>
          <w:sz w:val="24"/>
          <w:szCs w:val="24"/>
        </w:rPr>
        <w:t>公告编号：202</w:t>
      </w:r>
      <w:r>
        <w:rPr>
          <w:rFonts w:ascii="宋体" w:hAnsi="宋体" w:cs="宋体"/>
          <w:b/>
          <w:bCs/>
          <w:sz w:val="24"/>
          <w:szCs w:val="24"/>
        </w:rPr>
        <w:t>6</w:t>
      </w:r>
      <w:r>
        <w:rPr>
          <w:rFonts w:hint="eastAsia" w:ascii="宋体" w:hAnsi="宋体" w:cs="宋体"/>
          <w:b/>
          <w:bCs/>
          <w:sz w:val="24"/>
          <w:szCs w:val="24"/>
        </w:rPr>
        <w:t>-0</w:t>
      </w:r>
      <w:r>
        <w:rPr>
          <w:rFonts w:ascii="宋体" w:hAnsi="宋体" w:cs="宋体"/>
          <w:b/>
          <w:bCs/>
          <w:sz w:val="24"/>
          <w:szCs w:val="24"/>
        </w:rPr>
        <w:t>42</w:t>
      </w:r>
    </w:p>
    <w:p w14:paraId="07A1E734">
      <w:pPr>
        <w:spacing w:before="312" w:beforeLines="100" w:line="560" w:lineRule="exact"/>
        <w:ind w:firstLine="641"/>
        <w:jc w:val="center"/>
        <w:rPr>
          <w:rFonts w:eastAsia="黑体" w:cs="Times New Roman"/>
          <w:b/>
          <w:bCs/>
          <w:color w:val="FF0000"/>
          <w:sz w:val="36"/>
          <w:szCs w:val="36"/>
        </w:rPr>
      </w:pPr>
      <w:r>
        <w:rPr>
          <w:rFonts w:hint="eastAsia" w:eastAsia="黑体" w:cs="黑体"/>
          <w:b/>
          <w:bCs/>
          <w:color w:val="FF0000"/>
          <w:sz w:val="36"/>
          <w:szCs w:val="36"/>
        </w:rPr>
        <w:t>安徽恒源煤电股份有限公司</w:t>
      </w:r>
    </w:p>
    <w:p w14:paraId="5B4F72C9">
      <w:pPr>
        <w:spacing w:line="560" w:lineRule="exact"/>
        <w:ind w:firstLine="641"/>
        <w:jc w:val="center"/>
        <w:rPr>
          <w:rFonts w:eastAsia="黑体" w:cs="Times New Roman"/>
          <w:b/>
          <w:bCs/>
          <w:color w:val="FF0000"/>
          <w:sz w:val="36"/>
          <w:szCs w:val="36"/>
        </w:rPr>
      </w:pPr>
      <w:r>
        <w:rPr>
          <w:rFonts w:eastAsia="黑体" w:cs="黑体"/>
          <w:b/>
          <w:bCs/>
          <w:color w:val="FF0000"/>
          <w:sz w:val="36"/>
          <w:szCs w:val="36"/>
        </w:rPr>
        <w:t>20</w:t>
      </w:r>
      <w:r>
        <w:rPr>
          <w:rFonts w:hint="eastAsia" w:eastAsia="黑体" w:cs="黑体"/>
          <w:b/>
          <w:bCs/>
          <w:color w:val="FF0000"/>
          <w:sz w:val="36"/>
          <w:szCs w:val="36"/>
        </w:rPr>
        <w:t>2</w:t>
      </w:r>
      <w:r>
        <w:rPr>
          <w:rFonts w:eastAsia="黑体" w:cs="黑体"/>
          <w:b/>
          <w:bCs/>
          <w:color w:val="FF0000"/>
          <w:sz w:val="36"/>
          <w:szCs w:val="36"/>
        </w:rPr>
        <w:t>6</w:t>
      </w:r>
      <w:r>
        <w:rPr>
          <w:rFonts w:hint="eastAsia" w:eastAsia="黑体" w:cs="黑体"/>
          <w:b/>
          <w:bCs/>
          <w:color w:val="FF0000"/>
          <w:sz w:val="36"/>
          <w:szCs w:val="36"/>
        </w:rPr>
        <w:t>年半年度经营数据公告</w:t>
      </w:r>
    </w:p>
    <w:p w14:paraId="3C0BAE24">
      <w:pPr>
        <w:autoSpaceDE w:val="0"/>
        <w:autoSpaceDN w:val="0"/>
        <w:adjustRightInd w:val="0"/>
        <w:spacing w:before="312" w:beforeLines="100" w:line="560" w:lineRule="exact"/>
        <w:ind w:firstLine="560" w:firstLineChars="200"/>
        <w:jc w:val="left"/>
        <w:rPr>
          <w:rFonts w:eastAsia="楷体_GB2312" w:cs="Times New Roman"/>
          <w:sz w:val="28"/>
          <w:szCs w:val="28"/>
        </w:rPr>
      </w:pPr>
      <w:r>
        <w:rPr>
          <w:rFonts w:hint="eastAsia" w:eastAsia="楷体_GB2312" w:cs="楷体_GB2312"/>
          <w:sz w:val="28"/>
          <w:szCs w:val="28"/>
        </w:rPr>
        <w:t>本公司董事会及全体董事保证本公告内容不存在任何虚假记载、误导性陈述或者重大遗漏，并对其内容的真实性、准确性和完整性承担个别及连带责任。</w:t>
      </w:r>
    </w:p>
    <w:p w14:paraId="45D6FBD2">
      <w:pPr>
        <w:spacing w:line="560" w:lineRule="exact"/>
        <w:ind w:firstLine="600" w:firstLineChars="200"/>
        <w:rPr>
          <w:rFonts w:ascii="仿宋_GB2312" w:eastAsia="仿宋_GB2312" w:cs="宋体"/>
          <w:sz w:val="30"/>
          <w:szCs w:val="30"/>
        </w:rPr>
      </w:pPr>
      <w:r>
        <w:rPr>
          <w:rFonts w:hint="eastAsia" w:ascii="仿宋_GB2312" w:eastAsia="仿宋_GB2312" w:cs="宋体"/>
          <w:sz w:val="30"/>
          <w:szCs w:val="30"/>
        </w:rPr>
        <w:t>根据上海证券交易所《上市公司行业信息披露指引第二号</w:t>
      </w:r>
      <w:r>
        <w:rPr>
          <w:rFonts w:hint="eastAsia" w:ascii="仿宋_GB2312" w:eastAsia="仿宋_GB2312"/>
          <w:sz w:val="30"/>
          <w:szCs w:val="30"/>
        </w:rPr>
        <w:t>-</w:t>
      </w:r>
      <w:r>
        <w:rPr>
          <w:rFonts w:hint="eastAsia" w:ascii="仿宋_GB2312" w:eastAsia="仿宋_GB2312" w:cs="宋体"/>
          <w:sz w:val="30"/>
          <w:szCs w:val="30"/>
        </w:rPr>
        <w:t>煤炭》、《上市公司行业信息披露指引第三号</w:t>
      </w:r>
      <w:r>
        <w:rPr>
          <w:rFonts w:hint="eastAsia" w:ascii="仿宋_GB2312" w:eastAsia="仿宋_GB2312"/>
          <w:sz w:val="30"/>
          <w:szCs w:val="30"/>
        </w:rPr>
        <w:t>-电力</w:t>
      </w:r>
      <w:r>
        <w:rPr>
          <w:rFonts w:hint="eastAsia" w:ascii="仿宋_GB2312" w:eastAsia="仿宋_GB2312" w:cs="宋体"/>
          <w:sz w:val="30"/>
          <w:szCs w:val="30"/>
        </w:rPr>
        <w:t>》要求，特此公告公司2026年半年度经营数据。</w:t>
      </w:r>
    </w:p>
    <w:p w14:paraId="2AD7701E">
      <w:pPr>
        <w:spacing w:line="560" w:lineRule="exact"/>
        <w:ind w:firstLine="600" w:firstLineChars="200"/>
        <w:rPr>
          <w:rFonts w:ascii="黑体" w:hAnsi="黑体" w:eastAsia="黑体" w:cs="宋体"/>
          <w:sz w:val="30"/>
          <w:szCs w:val="30"/>
        </w:rPr>
      </w:pPr>
      <w:r>
        <w:rPr>
          <w:rFonts w:hint="eastAsia" w:ascii="黑体" w:hAnsi="黑体" w:eastAsia="黑体" w:cs="宋体"/>
          <w:sz w:val="30"/>
          <w:szCs w:val="30"/>
        </w:rPr>
        <w:t>一、煤炭业务</w:t>
      </w:r>
    </w:p>
    <w:tbl>
      <w:tblPr>
        <w:tblStyle w:val="4"/>
        <w:tblW w:w="924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23"/>
        <w:gridCol w:w="1672"/>
        <w:gridCol w:w="1781"/>
        <w:gridCol w:w="1973"/>
      </w:tblGrid>
      <w:tr w14:paraId="72BE3F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3823" w:type="dxa"/>
            <w:vAlign w:val="center"/>
          </w:tcPr>
          <w:p w14:paraId="297D9C26">
            <w:pPr>
              <w:pStyle w:val="7"/>
              <w:spacing w:line="560" w:lineRule="exact"/>
              <w:jc w:val="center"/>
              <w:rPr>
                <w:rFonts w:ascii="仿宋_GB2312" w:hAnsi="宋体" w:eastAsia="仿宋_GB2312" w:cs="Times New Roman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项 目</w:t>
            </w:r>
          </w:p>
        </w:tc>
        <w:tc>
          <w:tcPr>
            <w:tcW w:w="1672" w:type="dxa"/>
            <w:vAlign w:val="center"/>
          </w:tcPr>
          <w:p w14:paraId="2D060D9E">
            <w:pPr>
              <w:pStyle w:val="7"/>
              <w:spacing w:line="560" w:lineRule="exact"/>
              <w:jc w:val="center"/>
              <w:rPr>
                <w:rFonts w:ascii="仿宋_GB2312" w:hAnsi="宋体" w:eastAsia="仿宋_GB2312" w:cs="Times New Roman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本期数</w:t>
            </w:r>
          </w:p>
        </w:tc>
        <w:tc>
          <w:tcPr>
            <w:tcW w:w="1781" w:type="dxa"/>
            <w:vAlign w:val="center"/>
          </w:tcPr>
          <w:p w14:paraId="47E89E47">
            <w:pPr>
              <w:pStyle w:val="7"/>
              <w:spacing w:line="560" w:lineRule="exact"/>
              <w:jc w:val="center"/>
              <w:rPr>
                <w:rFonts w:ascii="仿宋_GB2312" w:hAnsi="宋体" w:eastAsia="仿宋_GB2312" w:cs="Times New Roman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上年同期数</w:t>
            </w:r>
          </w:p>
        </w:tc>
        <w:tc>
          <w:tcPr>
            <w:tcW w:w="1973" w:type="dxa"/>
            <w:vAlign w:val="center"/>
          </w:tcPr>
          <w:p w14:paraId="4352375A">
            <w:pPr>
              <w:pStyle w:val="7"/>
              <w:spacing w:line="560" w:lineRule="exact"/>
              <w:jc w:val="center"/>
              <w:rPr>
                <w:rFonts w:ascii="仿宋_GB2312" w:hAnsi="宋体" w:eastAsia="仿宋_GB2312" w:cs="Times New Roman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变动比例（%）</w:t>
            </w:r>
          </w:p>
        </w:tc>
      </w:tr>
      <w:tr w14:paraId="6295D3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exact"/>
          <w:jc w:val="center"/>
        </w:trPr>
        <w:tc>
          <w:tcPr>
            <w:tcW w:w="3823" w:type="dxa"/>
            <w:vAlign w:val="center"/>
          </w:tcPr>
          <w:p w14:paraId="461F749E">
            <w:pPr>
              <w:pStyle w:val="7"/>
              <w:spacing w:line="560" w:lineRule="exact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原煤产量（万吨）</w:t>
            </w:r>
          </w:p>
        </w:tc>
        <w:tc>
          <w:tcPr>
            <w:tcW w:w="1672" w:type="dxa"/>
          </w:tcPr>
          <w:p w14:paraId="01F31A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508.69</w:t>
            </w:r>
          </w:p>
        </w:tc>
        <w:tc>
          <w:tcPr>
            <w:tcW w:w="1781" w:type="dxa"/>
          </w:tcPr>
          <w:p w14:paraId="1A6C05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476.82</w:t>
            </w:r>
          </w:p>
        </w:tc>
        <w:tc>
          <w:tcPr>
            <w:tcW w:w="1973" w:type="dxa"/>
          </w:tcPr>
          <w:p w14:paraId="51F5A1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6.68</w:t>
            </w:r>
          </w:p>
        </w:tc>
      </w:tr>
      <w:tr w14:paraId="5467B8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exact"/>
          <w:jc w:val="center"/>
        </w:trPr>
        <w:tc>
          <w:tcPr>
            <w:tcW w:w="3823" w:type="dxa"/>
            <w:vAlign w:val="center"/>
          </w:tcPr>
          <w:p w14:paraId="6F1F42B2">
            <w:pPr>
              <w:pStyle w:val="7"/>
              <w:spacing w:line="560" w:lineRule="exact"/>
              <w:rPr>
                <w:rFonts w:ascii="仿宋_GB2312" w:eastAsia="仿宋_GB2312" w:cs="Times New Roman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商品煤产量（万吨）</w:t>
            </w:r>
          </w:p>
        </w:tc>
        <w:tc>
          <w:tcPr>
            <w:tcW w:w="1672" w:type="dxa"/>
          </w:tcPr>
          <w:p w14:paraId="05FAF4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404.69</w:t>
            </w:r>
          </w:p>
        </w:tc>
        <w:tc>
          <w:tcPr>
            <w:tcW w:w="1781" w:type="dxa"/>
          </w:tcPr>
          <w:p w14:paraId="352398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354.97</w:t>
            </w:r>
          </w:p>
        </w:tc>
        <w:tc>
          <w:tcPr>
            <w:tcW w:w="1973" w:type="dxa"/>
          </w:tcPr>
          <w:p w14:paraId="0A613D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14.01</w:t>
            </w:r>
          </w:p>
        </w:tc>
      </w:tr>
      <w:tr w14:paraId="4510EB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exact"/>
          <w:jc w:val="center"/>
        </w:trPr>
        <w:tc>
          <w:tcPr>
            <w:tcW w:w="3823" w:type="dxa"/>
            <w:vAlign w:val="center"/>
          </w:tcPr>
          <w:p w14:paraId="0F238B0E">
            <w:pPr>
              <w:pStyle w:val="7"/>
              <w:spacing w:line="560" w:lineRule="exact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商品煤销量（万吨）</w:t>
            </w:r>
          </w:p>
        </w:tc>
        <w:tc>
          <w:tcPr>
            <w:tcW w:w="1672" w:type="dxa"/>
          </w:tcPr>
          <w:p w14:paraId="292AF6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331.35</w:t>
            </w:r>
          </w:p>
        </w:tc>
        <w:tc>
          <w:tcPr>
            <w:tcW w:w="1781" w:type="dxa"/>
          </w:tcPr>
          <w:p w14:paraId="634B3A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337.68</w:t>
            </w:r>
          </w:p>
        </w:tc>
        <w:tc>
          <w:tcPr>
            <w:tcW w:w="1973" w:type="dxa"/>
          </w:tcPr>
          <w:p w14:paraId="1D4EB0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-1.87</w:t>
            </w:r>
          </w:p>
        </w:tc>
      </w:tr>
      <w:tr w14:paraId="3BFA47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3823" w:type="dxa"/>
            <w:vAlign w:val="center"/>
          </w:tcPr>
          <w:p w14:paraId="527409D8">
            <w:pPr>
              <w:pStyle w:val="7"/>
              <w:spacing w:line="560" w:lineRule="exact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煤炭主营销售收入（万元）</w:t>
            </w:r>
          </w:p>
        </w:tc>
        <w:tc>
          <w:tcPr>
            <w:tcW w:w="1672" w:type="dxa"/>
          </w:tcPr>
          <w:p w14:paraId="6F4221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256,904.52</w:t>
            </w:r>
          </w:p>
        </w:tc>
        <w:tc>
          <w:tcPr>
            <w:tcW w:w="1781" w:type="dxa"/>
          </w:tcPr>
          <w:p w14:paraId="5BC944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223,599.64</w:t>
            </w:r>
          </w:p>
        </w:tc>
        <w:tc>
          <w:tcPr>
            <w:tcW w:w="1973" w:type="dxa"/>
          </w:tcPr>
          <w:p w14:paraId="68CA88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14.89</w:t>
            </w:r>
          </w:p>
        </w:tc>
      </w:tr>
      <w:tr w14:paraId="29218F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exact"/>
          <w:jc w:val="center"/>
        </w:trPr>
        <w:tc>
          <w:tcPr>
            <w:tcW w:w="3823" w:type="dxa"/>
            <w:vAlign w:val="center"/>
          </w:tcPr>
          <w:p w14:paraId="66D09ADE">
            <w:pPr>
              <w:pStyle w:val="7"/>
              <w:spacing w:line="560" w:lineRule="exact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煤炭主营销售成本（万元）</w:t>
            </w:r>
          </w:p>
        </w:tc>
        <w:tc>
          <w:tcPr>
            <w:tcW w:w="1672" w:type="dxa"/>
          </w:tcPr>
          <w:p w14:paraId="5334E0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186,134.90</w:t>
            </w:r>
          </w:p>
        </w:tc>
        <w:tc>
          <w:tcPr>
            <w:tcW w:w="1781" w:type="dxa"/>
          </w:tcPr>
          <w:p w14:paraId="34599C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191,545.93</w:t>
            </w:r>
          </w:p>
        </w:tc>
        <w:tc>
          <w:tcPr>
            <w:tcW w:w="1973" w:type="dxa"/>
          </w:tcPr>
          <w:p w14:paraId="0C5387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-2.82</w:t>
            </w:r>
          </w:p>
        </w:tc>
      </w:tr>
      <w:tr w14:paraId="4E6E9F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exact"/>
          <w:jc w:val="center"/>
        </w:trPr>
        <w:tc>
          <w:tcPr>
            <w:tcW w:w="3823" w:type="dxa"/>
            <w:vAlign w:val="center"/>
          </w:tcPr>
          <w:p w14:paraId="4E1A010F">
            <w:pPr>
              <w:pStyle w:val="7"/>
              <w:spacing w:line="560" w:lineRule="exact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商品煤销售毛利（万元）</w:t>
            </w:r>
          </w:p>
        </w:tc>
        <w:tc>
          <w:tcPr>
            <w:tcW w:w="1672" w:type="dxa"/>
          </w:tcPr>
          <w:p w14:paraId="65E87A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70,769.62</w:t>
            </w:r>
          </w:p>
        </w:tc>
        <w:tc>
          <w:tcPr>
            <w:tcW w:w="1781" w:type="dxa"/>
          </w:tcPr>
          <w:p w14:paraId="4D6F8E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32,053.71</w:t>
            </w:r>
          </w:p>
        </w:tc>
        <w:tc>
          <w:tcPr>
            <w:tcW w:w="1973" w:type="dxa"/>
          </w:tcPr>
          <w:p w14:paraId="442D17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120.78</w:t>
            </w:r>
          </w:p>
        </w:tc>
      </w:tr>
    </w:tbl>
    <w:p w14:paraId="34D9CFDB">
      <w:pPr>
        <w:pStyle w:val="7"/>
        <w:spacing w:line="560" w:lineRule="exact"/>
        <w:ind w:firstLine="600" w:firstLineChars="200"/>
        <w:rPr>
          <w:rFonts w:ascii="仿宋_GB2312" w:eastAsia="仿宋_GB2312"/>
          <w:color w:val="auto"/>
          <w:sz w:val="30"/>
          <w:szCs w:val="30"/>
        </w:rPr>
      </w:pPr>
      <w:r>
        <w:rPr>
          <w:rFonts w:hint="eastAsia" w:ascii="仿宋_GB2312" w:eastAsia="仿宋_GB2312"/>
          <w:color w:val="auto"/>
          <w:sz w:val="30"/>
          <w:szCs w:val="30"/>
        </w:rPr>
        <w:t>说明：商品煤销量不含公司并表抵消本期64.44万吨，同期0.6万吨。</w:t>
      </w:r>
    </w:p>
    <w:p w14:paraId="273EFD7B">
      <w:pPr>
        <w:pStyle w:val="7"/>
        <w:spacing w:line="560" w:lineRule="exact"/>
        <w:ind w:firstLine="600" w:firstLineChars="200"/>
        <w:rPr>
          <w:rFonts w:ascii="黑体" w:hAnsi="黑体" w:eastAsia="黑体"/>
          <w:color w:val="auto"/>
          <w:sz w:val="30"/>
          <w:szCs w:val="30"/>
        </w:rPr>
      </w:pPr>
      <w:r>
        <w:rPr>
          <w:rFonts w:hint="eastAsia" w:ascii="黑体" w:hAnsi="黑体" w:eastAsia="黑体"/>
          <w:color w:val="auto"/>
          <w:sz w:val="30"/>
          <w:szCs w:val="30"/>
        </w:rPr>
        <w:t>二、电力业务</w:t>
      </w:r>
    </w:p>
    <w:tbl>
      <w:tblPr>
        <w:tblStyle w:val="4"/>
        <w:tblW w:w="9389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52"/>
        <w:gridCol w:w="1808"/>
        <w:gridCol w:w="1860"/>
        <w:gridCol w:w="2069"/>
      </w:tblGrid>
      <w:tr w14:paraId="6B947C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652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E33610F">
            <w:pPr>
              <w:widowControl/>
              <w:spacing w:line="5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</w:rPr>
              <w:t>项 目</w:t>
            </w:r>
          </w:p>
        </w:tc>
        <w:tc>
          <w:tcPr>
            <w:tcW w:w="1808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3E05377">
            <w:pPr>
              <w:widowControl/>
              <w:spacing w:line="5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</w:rPr>
              <w:t>本期数</w:t>
            </w:r>
          </w:p>
        </w:tc>
        <w:tc>
          <w:tcPr>
            <w:tcW w:w="186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6F91094">
            <w:pPr>
              <w:widowControl/>
              <w:spacing w:line="5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</w:rPr>
              <w:t>上年同期数</w:t>
            </w:r>
          </w:p>
        </w:tc>
        <w:tc>
          <w:tcPr>
            <w:tcW w:w="2069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000000" w:fill="FFFFFF"/>
            <w:vAlign w:val="center"/>
          </w:tcPr>
          <w:p w14:paraId="41F66203">
            <w:pPr>
              <w:widowControl/>
              <w:spacing w:line="5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</w:rPr>
              <w:t>变动幅度（%）</w:t>
            </w:r>
          </w:p>
        </w:tc>
      </w:tr>
      <w:tr w14:paraId="07C6CF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652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342FD03">
            <w:pPr>
              <w:widowControl/>
              <w:spacing w:line="560" w:lineRule="exact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</w:rPr>
              <w:t>发电量（万千瓦时）</w:t>
            </w:r>
          </w:p>
        </w:tc>
        <w:tc>
          <w:tcPr>
            <w:tcW w:w="18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12A680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223,794.01</w:t>
            </w:r>
          </w:p>
        </w:tc>
        <w:tc>
          <w:tcPr>
            <w:tcW w:w="1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36736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4,959.11</w:t>
            </w:r>
          </w:p>
        </w:tc>
        <w:tc>
          <w:tcPr>
            <w:tcW w:w="206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000000" w:fill="FFFFFF"/>
          </w:tcPr>
          <w:p w14:paraId="7D64CC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4,412.78</w:t>
            </w:r>
          </w:p>
        </w:tc>
      </w:tr>
      <w:tr w14:paraId="62FC5B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652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9FB947">
            <w:pPr>
              <w:widowControl/>
              <w:spacing w:line="56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</w:rPr>
              <w:t>售电量（万千瓦时）</w:t>
            </w:r>
          </w:p>
        </w:tc>
        <w:tc>
          <w:tcPr>
            <w:tcW w:w="18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25ABCB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213,090.74</w:t>
            </w:r>
          </w:p>
        </w:tc>
        <w:tc>
          <w:tcPr>
            <w:tcW w:w="1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75E671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2,743.81</w:t>
            </w:r>
          </w:p>
        </w:tc>
        <w:tc>
          <w:tcPr>
            <w:tcW w:w="206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000000" w:fill="FFFFFF"/>
          </w:tcPr>
          <w:p w14:paraId="077DBC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7,666.24</w:t>
            </w:r>
          </w:p>
        </w:tc>
      </w:tr>
      <w:tr w14:paraId="6067BA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652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277BF3">
            <w:pPr>
              <w:widowControl/>
              <w:spacing w:line="56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</w:rPr>
              <w:t>电力主营销售收入(万元）</w:t>
            </w:r>
          </w:p>
        </w:tc>
        <w:tc>
          <w:tcPr>
            <w:tcW w:w="18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332D7F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75,815.63</w:t>
            </w:r>
          </w:p>
        </w:tc>
        <w:tc>
          <w:tcPr>
            <w:tcW w:w="1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1EB097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912.61</w:t>
            </w:r>
          </w:p>
        </w:tc>
        <w:tc>
          <w:tcPr>
            <w:tcW w:w="206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000000" w:fill="FFFFFF"/>
          </w:tcPr>
          <w:p w14:paraId="392F41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8,207.55</w:t>
            </w:r>
          </w:p>
        </w:tc>
      </w:tr>
      <w:tr w14:paraId="37A5BE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652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6C1D55">
            <w:pPr>
              <w:widowControl/>
              <w:spacing w:line="56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</w:rPr>
              <w:t>电力主营销售成本（万元）</w:t>
            </w:r>
          </w:p>
        </w:tc>
        <w:tc>
          <w:tcPr>
            <w:tcW w:w="18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255C2A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57,273.36</w:t>
            </w:r>
          </w:p>
        </w:tc>
        <w:tc>
          <w:tcPr>
            <w:tcW w:w="1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276DE7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1,584.91</w:t>
            </w:r>
          </w:p>
        </w:tc>
        <w:tc>
          <w:tcPr>
            <w:tcW w:w="206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000000" w:fill="FFFFFF"/>
          </w:tcPr>
          <w:p w14:paraId="5B9FA1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3,513.67</w:t>
            </w:r>
          </w:p>
        </w:tc>
      </w:tr>
      <w:tr w14:paraId="6AD8B1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65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3A614A">
            <w:pPr>
              <w:widowControl/>
              <w:spacing w:line="56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</w:rPr>
              <w:t>销售毛利（万元）</w:t>
            </w:r>
          </w:p>
        </w:tc>
        <w:tc>
          <w:tcPr>
            <w:tcW w:w="1808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</w:tcPr>
          <w:p w14:paraId="0AE2F5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18,542.26</w:t>
            </w:r>
          </w:p>
        </w:tc>
        <w:tc>
          <w:tcPr>
            <w:tcW w:w="186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</w:tcPr>
          <w:p w14:paraId="4BCF58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-672.30</w:t>
            </w:r>
          </w:p>
        </w:tc>
        <w:tc>
          <w:tcPr>
            <w:tcW w:w="20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</w:tcPr>
          <w:p w14:paraId="336B5E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/</w:t>
            </w:r>
          </w:p>
        </w:tc>
      </w:tr>
    </w:tbl>
    <w:p w14:paraId="64367D75">
      <w:pPr>
        <w:pStyle w:val="7"/>
        <w:spacing w:line="560" w:lineRule="exact"/>
        <w:ind w:firstLine="600" w:firstLineChars="200"/>
        <w:rPr>
          <w:rFonts w:ascii="仿宋_GB2312" w:eastAsia="仿宋_GB2312" w:cs="Times New Roman"/>
          <w:color w:val="auto"/>
          <w:sz w:val="30"/>
          <w:szCs w:val="30"/>
        </w:rPr>
      </w:pPr>
      <w:r>
        <w:rPr>
          <w:rFonts w:hint="eastAsia" w:ascii="仿宋_GB2312" w:eastAsia="仿宋_GB2312"/>
          <w:color w:val="auto"/>
          <w:sz w:val="30"/>
          <w:szCs w:val="30"/>
        </w:rPr>
        <w:t>本公告之经营数据未经审计，以上数据源自公司报告期内财务数据，为投资者了解公司生产经营概况之用，公司董事会提醒投资者审慎使用该等数据。</w:t>
      </w:r>
    </w:p>
    <w:p w14:paraId="5F8E6897">
      <w:pPr>
        <w:pStyle w:val="7"/>
        <w:spacing w:line="560" w:lineRule="exact"/>
        <w:ind w:firstLine="600" w:firstLineChars="200"/>
        <w:rPr>
          <w:rFonts w:ascii="仿宋_GB2312" w:eastAsia="仿宋_GB2312"/>
          <w:color w:val="auto"/>
          <w:sz w:val="30"/>
          <w:szCs w:val="30"/>
        </w:rPr>
      </w:pPr>
      <w:r>
        <w:rPr>
          <w:rFonts w:hint="eastAsia" w:ascii="仿宋_GB2312" w:eastAsia="仿宋_GB2312"/>
          <w:color w:val="auto"/>
          <w:sz w:val="30"/>
          <w:szCs w:val="30"/>
        </w:rPr>
        <w:t xml:space="preserve">特此公告。 </w:t>
      </w:r>
      <w:bookmarkStart w:id="0" w:name="_GoBack"/>
      <w:bookmarkEnd w:id="0"/>
    </w:p>
    <w:p w14:paraId="5B7BA0B3">
      <w:pPr>
        <w:pStyle w:val="7"/>
        <w:spacing w:line="560" w:lineRule="exact"/>
        <w:jc w:val="right"/>
        <w:rPr>
          <w:rFonts w:ascii="仿宋_GB2312" w:eastAsia="仿宋_GB2312"/>
          <w:color w:val="auto"/>
          <w:sz w:val="30"/>
          <w:szCs w:val="30"/>
        </w:rPr>
      </w:pPr>
      <w:r>
        <w:rPr>
          <w:rFonts w:hint="eastAsia" w:ascii="仿宋_GB2312" w:eastAsia="仿宋_GB2312"/>
          <w:color w:val="auto"/>
          <w:sz w:val="30"/>
          <w:szCs w:val="30"/>
        </w:rPr>
        <w:t xml:space="preserve">安徽恒源煤电股份有限公司董事会 </w:t>
      </w:r>
    </w:p>
    <w:p w14:paraId="7734D5D1">
      <w:pPr>
        <w:spacing w:line="560" w:lineRule="exact"/>
        <w:ind w:firstLine="5400" w:firstLineChars="1800"/>
        <w:rPr>
          <w:rFonts w:ascii="仿宋_GB2312" w:eastAsia="仿宋_GB2312" w:cs="宋体"/>
          <w:kern w:val="0"/>
          <w:sz w:val="30"/>
          <w:szCs w:val="30"/>
        </w:rPr>
      </w:pPr>
      <w:r>
        <w:rPr>
          <w:rFonts w:hint="eastAsia" w:ascii="仿宋_GB2312" w:eastAsia="仿宋_GB2312" w:cs="宋体"/>
          <w:kern w:val="0"/>
          <w:sz w:val="30"/>
          <w:szCs w:val="30"/>
        </w:rPr>
        <w:t>202</w:t>
      </w:r>
      <w:r>
        <w:rPr>
          <w:rFonts w:ascii="仿宋_GB2312" w:eastAsia="仿宋_GB2312" w:cs="宋体"/>
          <w:kern w:val="0"/>
          <w:sz w:val="30"/>
          <w:szCs w:val="30"/>
        </w:rPr>
        <w:t>6</w:t>
      </w:r>
      <w:r>
        <w:rPr>
          <w:rFonts w:hint="eastAsia" w:ascii="仿宋_GB2312" w:eastAsia="仿宋_GB2312" w:cs="宋体"/>
          <w:kern w:val="0"/>
          <w:sz w:val="30"/>
          <w:szCs w:val="30"/>
        </w:rPr>
        <w:t>年</w:t>
      </w:r>
      <w:r>
        <w:rPr>
          <w:rFonts w:ascii="仿宋_GB2312" w:eastAsia="仿宋_GB2312" w:cs="宋体"/>
          <w:kern w:val="0"/>
          <w:sz w:val="30"/>
          <w:szCs w:val="30"/>
        </w:rPr>
        <w:t>7</w:t>
      </w:r>
      <w:r>
        <w:rPr>
          <w:rFonts w:hint="eastAsia" w:ascii="仿宋_GB2312" w:eastAsia="仿宋_GB2312" w:cs="宋体"/>
          <w:kern w:val="0"/>
          <w:sz w:val="30"/>
          <w:szCs w:val="30"/>
        </w:rPr>
        <w:t>月</w:t>
      </w:r>
      <w:r>
        <w:rPr>
          <w:rFonts w:ascii="仿宋_GB2312" w:eastAsia="仿宋_GB2312" w:cs="宋体"/>
          <w:kern w:val="0"/>
          <w:sz w:val="30"/>
          <w:szCs w:val="30"/>
        </w:rPr>
        <w:t>15</w:t>
      </w:r>
      <w:r>
        <w:rPr>
          <w:rFonts w:hint="eastAsia" w:ascii="仿宋_GB2312" w:eastAsia="仿宋_GB2312" w:cs="宋体"/>
          <w:kern w:val="0"/>
          <w:sz w:val="30"/>
          <w:szCs w:val="30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BBC"/>
    <w:rsid w:val="000032ED"/>
    <w:rsid w:val="000045E7"/>
    <w:rsid w:val="0000532E"/>
    <w:rsid w:val="000107F0"/>
    <w:rsid w:val="00014457"/>
    <w:rsid w:val="0001782D"/>
    <w:rsid w:val="00021F8F"/>
    <w:rsid w:val="000309B0"/>
    <w:rsid w:val="00040160"/>
    <w:rsid w:val="0004619C"/>
    <w:rsid w:val="00046257"/>
    <w:rsid w:val="00051B0F"/>
    <w:rsid w:val="00055CB6"/>
    <w:rsid w:val="0005640E"/>
    <w:rsid w:val="000844C8"/>
    <w:rsid w:val="0009251D"/>
    <w:rsid w:val="00093FF8"/>
    <w:rsid w:val="000A479F"/>
    <w:rsid w:val="000B4810"/>
    <w:rsid w:val="000C0C76"/>
    <w:rsid w:val="000C1157"/>
    <w:rsid w:val="000C450A"/>
    <w:rsid w:val="000D0408"/>
    <w:rsid w:val="000D5F10"/>
    <w:rsid w:val="000F2D0F"/>
    <w:rsid w:val="000F3162"/>
    <w:rsid w:val="000F67DF"/>
    <w:rsid w:val="001077D0"/>
    <w:rsid w:val="00115261"/>
    <w:rsid w:val="00115A29"/>
    <w:rsid w:val="00115E8B"/>
    <w:rsid w:val="00117DA8"/>
    <w:rsid w:val="001256E0"/>
    <w:rsid w:val="0013542C"/>
    <w:rsid w:val="00136E00"/>
    <w:rsid w:val="00141669"/>
    <w:rsid w:val="001420F8"/>
    <w:rsid w:val="001430BC"/>
    <w:rsid w:val="0014786E"/>
    <w:rsid w:val="00152C58"/>
    <w:rsid w:val="00153BC3"/>
    <w:rsid w:val="00157239"/>
    <w:rsid w:val="001653F6"/>
    <w:rsid w:val="001707C6"/>
    <w:rsid w:val="0017678C"/>
    <w:rsid w:val="00177717"/>
    <w:rsid w:val="001805A7"/>
    <w:rsid w:val="00180BBC"/>
    <w:rsid w:val="00180CB9"/>
    <w:rsid w:val="00183E8F"/>
    <w:rsid w:val="00191BBB"/>
    <w:rsid w:val="0019447E"/>
    <w:rsid w:val="001A3C92"/>
    <w:rsid w:val="001A6515"/>
    <w:rsid w:val="001A7829"/>
    <w:rsid w:val="001C2056"/>
    <w:rsid w:val="001C4489"/>
    <w:rsid w:val="001C58CE"/>
    <w:rsid w:val="001C69B8"/>
    <w:rsid w:val="001D0A6F"/>
    <w:rsid w:val="001D0BE5"/>
    <w:rsid w:val="001D38D7"/>
    <w:rsid w:val="001E7C98"/>
    <w:rsid w:val="001F2DE4"/>
    <w:rsid w:val="001F5F0E"/>
    <w:rsid w:val="00201AEE"/>
    <w:rsid w:val="00201C28"/>
    <w:rsid w:val="002075E5"/>
    <w:rsid w:val="002119FF"/>
    <w:rsid w:val="0021309E"/>
    <w:rsid w:val="0021354C"/>
    <w:rsid w:val="002166F0"/>
    <w:rsid w:val="00217538"/>
    <w:rsid w:val="00224D60"/>
    <w:rsid w:val="00235AAC"/>
    <w:rsid w:val="00244504"/>
    <w:rsid w:val="00244D6E"/>
    <w:rsid w:val="00253FDC"/>
    <w:rsid w:val="00257CE8"/>
    <w:rsid w:val="002626C1"/>
    <w:rsid w:val="0026295B"/>
    <w:rsid w:val="00264C23"/>
    <w:rsid w:val="0027630E"/>
    <w:rsid w:val="0028476F"/>
    <w:rsid w:val="00292369"/>
    <w:rsid w:val="00294233"/>
    <w:rsid w:val="0029436F"/>
    <w:rsid w:val="00297CC4"/>
    <w:rsid w:val="002A4F33"/>
    <w:rsid w:val="002A77FA"/>
    <w:rsid w:val="002B3065"/>
    <w:rsid w:val="002B4318"/>
    <w:rsid w:val="002B4DD1"/>
    <w:rsid w:val="002D3867"/>
    <w:rsid w:val="002D7953"/>
    <w:rsid w:val="002E21C7"/>
    <w:rsid w:val="002E3892"/>
    <w:rsid w:val="00304F95"/>
    <w:rsid w:val="00307895"/>
    <w:rsid w:val="0031050C"/>
    <w:rsid w:val="00316B7C"/>
    <w:rsid w:val="00320002"/>
    <w:rsid w:val="00321186"/>
    <w:rsid w:val="00331AE1"/>
    <w:rsid w:val="00332F22"/>
    <w:rsid w:val="0035003D"/>
    <w:rsid w:val="0035231A"/>
    <w:rsid w:val="00352B53"/>
    <w:rsid w:val="00377472"/>
    <w:rsid w:val="003865A3"/>
    <w:rsid w:val="00392618"/>
    <w:rsid w:val="003948EA"/>
    <w:rsid w:val="003956B3"/>
    <w:rsid w:val="003968CA"/>
    <w:rsid w:val="003A27B3"/>
    <w:rsid w:val="003B1EE4"/>
    <w:rsid w:val="003B45F7"/>
    <w:rsid w:val="003B6623"/>
    <w:rsid w:val="003C1A48"/>
    <w:rsid w:val="003C592C"/>
    <w:rsid w:val="003C6B0E"/>
    <w:rsid w:val="003C71EE"/>
    <w:rsid w:val="003D3CEE"/>
    <w:rsid w:val="003D50BA"/>
    <w:rsid w:val="003D7498"/>
    <w:rsid w:val="003F6A0A"/>
    <w:rsid w:val="00405E54"/>
    <w:rsid w:val="004234AE"/>
    <w:rsid w:val="0042781A"/>
    <w:rsid w:val="00430153"/>
    <w:rsid w:val="00430E9B"/>
    <w:rsid w:val="00433CEA"/>
    <w:rsid w:val="0044511A"/>
    <w:rsid w:val="00462750"/>
    <w:rsid w:val="00464567"/>
    <w:rsid w:val="0046531A"/>
    <w:rsid w:val="00477200"/>
    <w:rsid w:val="004869A1"/>
    <w:rsid w:val="00490CDE"/>
    <w:rsid w:val="00493D06"/>
    <w:rsid w:val="004A63BE"/>
    <w:rsid w:val="004B0ABE"/>
    <w:rsid w:val="004B0C49"/>
    <w:rsid w:val="004B4001"/>
    <w:rsid w:val="004C1FE9"/>
    <w:rsid w:val="004C226A"/>
    <w:rsid w:val="004D574A"/>
    <w:rsid w:val="004E589D"/>
    <w:rsid w:val="004F0CC3"/>
    <w:rsid w:val="005035E9"/>
    <w:rsid w:val="0051222C"/>
    <w:rsid w:val="005139AE"/>
    <w:rsid w:val="00516E09"/>
    <w:rsid w:val="00522A37"/>
    <w:rsid w:val="00525975"/>
    <w:rsid w:val="0052612A"/>
    <w:rsid w:val="005268F4"/>
    <w:rsid w:val="005271D6"/>
    <w:rsid w:val="00532654"/>
    <w:rsid w:val="00546C8A"/>
    <w:rsid w:val="00551534"/>
    <w:rsid w:val="005515A9"/>
    <w:rsid w:val="00551A06"/>
    <w:rsid w:val="00555D1E"/>
    <w:rsid w:val="00561523"/>
    <w:rsid w:val="0057328B"/>
    <w:rsid w:val="00580608"/>
    <w:rsid w:val="0058226E"/>
    <w:rsid w:val="00587C20"/>
    <w:rsid w:val="00590FB4"/>
    <w:rsid w:val="00591E28"/>
    <w:rsid w:val="00594695"/>
    <w:rsid w:val="00596E44"/>
    <w:rsid w:val="005A2812"/>
    <w:rsid w:val="005A4892"/>
    <w:rsid w:val="005B2B21"/>
    <w:rsid w:val="005B3065"/>
    <w:rsid w:val="005C1739"/>
    <w:rsid w:val="005C6158"/>
    <w:rsid w:val="005D60F0"/>
    <w:rsid w:val="005E1BA8"/>
    <w:rsid w:val="005F0594"/>
    <w:rsid w:val="006010F5"/>
    <w:rsid w:val="006028B3"/>
    <w:rsid w:val="00610A11"/>
    <w:rsid w:val="00611841"/>
    <w:rsid w:val="00612C4E"/>
    <w:rsid w:val="006208B2"/>
    <w:rsid w:val="00621EBC"/>
    <w:rsid w:val="00624CDE"/>
    <w:rsid w:val="0062738D"/>
    <w:rsid w:val="006335CA"/>
    <w:rsid w:val="00635CF8"/>
    <w:rsid w:val="00636861"/>
    <w:rsid w:val="00637122"/>
    <w:rsid w:val="0063771A"/>
    <w:rsid w:val="00641646"/>
    <w:rsid w:val="00644647"/>
    <w:rsid w:val="0064629A"/>
    <w:rsid w:val="00667391"/>
    <w:rsid w:val="00671482"/>
    <w:rsid w:val="006737F2"/>
    <w:rsid w:val="00673E43"/>
    <w:rsid w:val="00673FA4"/>
    <w:rsid w:val="006741F2"/>
    <w:rsid w:val="00675C23"/>
    <w:rsid w:val="00676EEE"/>
    <w:rsid w:val="006821F8"/>
    <w:rsid w:val="00683596"/>
    <w:rsid w:val="006842BD"/>
    <w:rsid w:val="006870BB"/>
    <w:rsid w:val="0069156A"/>
    <w:rsid w:val="00697BF0"/>
    <w:rsid w:val="006A18B2"/>
    <w:rsid w:val="006A5BE6"/>
    <w:rsid w:val="006B22AE"/>
    <w:rsid w:val="006B2DE5"/>
    <w:rsid w:val="006B33FA"/>
    <w:rsid w:val="006B5259"/>
    <w:rsid w:val="006B5986"/>
    <w:rsid w:val="006C448E"/>
    <w:rsid w:val="006C4D60"/>
    <w:rsid w:val="006D7EC4"/>
    <w:rsid w:val="006E1162"/>
    <w:rsid w:val="00705D33"/>
    <w:rsid w:val="007069CE"/>
    <w:rsid w:val="0070710C"/>
    <w:rsid w:val="007118FE"/>
    <w:rsid w:val="0071498A"/>
    <w:rsid w:val="007207A6"/>
    <w:rsid w:val="007208AD"/>
    <w:rsid w:val="007222F8"/>
    <w:rsid w:val="0072510C"/>
    <w:rsid w:val="00726E97"/>
    <w:rsid w:val="007324B9"/>
    <w:rsid w:val="00735154"/>
    <w:rsid w:val="00736E4C"/>
    <w:rsid w:val="00745C2D"/>
    <w:rsid w:val="00746664"/>
    <w:rsid w:val="00747216"/>
    <w:rsid w:val="007479E2"/>
    <w:rsid w:val="00760027"/>
    <w:rsid w:val="007612BB"/>
    <w:rsid w:val="0076526A"/>
    <w:rsid w:val="00765A48"/>
    <w:rsid w:val="007753B2"/>
    <w:rsid w:val="007773D6"/>
    <w:rsid w:val="00790389"/>
    <w:rsid w:val="007B0827"/>
    <w:rsid w:val="007B088F"/>
    <w:rsid w:val="007B35D3"/>
    <w:rsid w:val="007B79CD"/>
    <w:rsid w:val="007C479A"/>
    <w:rsid w:val="007D6CE4"/>
    <w:rsid w:val="007E164A"/>
    <w:rsid w:val="007E4B47"/>
    <w:rsid w:val="007E5725"/>
    <w:rsid w:val="007E580D"/>
    <w:rsid w:val="008129CD"/>
    <w:rsid w:val="00813869"/>
    <w:rsid w:val="00820929"/>
    <w:rsid w:val="00822F60"/>
    <w:rsid w:val="008252F7"/>
    <w:rsid w:val="00844E63"/>
    <w:rsid w:val="00844FBD"/>
    <w:rsid w:val="00845160"/>
    <w:rsid w:val="00845210"/>
    <w:rsid w:val="0084620E"/>
    <w:rsid w:val="00852C7A"/>
    <w:rsid w:val="00853F44"/>
    <w:rsid w:val="00854505"/>
    <w:rsid w:val="00855956"/>
    <w:rsid w:val="008561E9"/>
    <w:rsid w:val="0085771E"/>
    <w:rsid w:val="00862409"/>
    <w:rsid w:val="00863076"/>
    <w:rsid w:val="00864E3B"/>
    <w:rsid w:val="0086611E"/>
    <w:rsid w:val="0086633E"/>
    <w:rsid w:val="00871B17"/>
    <w:rsid w:val="008779C1"/>
    <w:rsid w:val="00881A2C"/>
    <w:rsid w:val="00882A3B"/>
    <w:rsid w:val="00883D96"/>
    <w:rsid w:val="00885FCA"/>
    <w:rsid w:val="008926B1"/>
    <w:rsid w:val="00896B5D"/>
    <w:rsid w:val="008A4412"/>
    <w:rsid w:val="008E0BA8"/>
    <w:rsid w:val="008E7A5D"/>
    <w:rsid w:val="008F17DE"/>
    <w:rsid w:val="008F2A7D"/>
    <w:rsid w:val="008F7F4F"/>
    <w:rsid w:val="00905C50"/>
    <w:rsid w:val="009144C1"/>
    <w:rsid w:val="009219D1"/>
    <w:rsid w:val="00922501"/>
    <w:rsid w:val="0093335D"/>
    <w:rsid w:val="0094286C"/>
    <w:rsid w:val="0095798E"/>
    <w:rsid w:val="00966485"/>
    <w:rsid w:val="0098179A"/>
    <w:rsid w:val="00982310"/>
    <w:rsid w:val="0099310C"/>
    <w:rsid w:val="00997C85"/>
    <w:rsid w:val="009A1A5F"/>
    <w:rsid w:val="009A7BAF"/>
    <w:rsid w:val="009B6870"/>
    <w:rsid w:val="009C64F2"/>
    <w:rsid w:val="009D2ABD"/>
    <w:rsid w:val="009D7D14"/>
    <w:rsid w:val="009E2A4B"/>
    <w:rsid w:val="009E4215"/>
    <w:rsid w:val="009F3B8C"/>
    <w:rsid w:val="009F4B54"/>
    <w:rsid w:val="00A03461"/>
    <w:rsid w:val="00A04D71"/>
    <w:rsid w:val="00A122FE"/>
    <w:rsid w:val="00A21086"/>
    <w:rsid w:val="00A30BEA"/>
    <w:rsid w:val="00A42D9B"/>
    <w:rsid w:val="00A63648"/>
    <w:rsid w:val="00A804D1"/>
    <w:rsid w:val="00A84CB6"/>
    <w:rsid w:val="00A8504E"/>
    <w:rsid w:val="00A851FE"/>
    <w:rsid w:val="00A909D4"/>
    <w:rsid w:val="00A95F6B"/>
    <w:rsid w:val="00A9666D"/>
    <w:rsid w:val="00A977A0"/>
    <w:rsid w:val="00AA1EA9"/>
    <w:rsid w:val="00AA6DBC"/>
    <w:rsid w:val="00AC6F99"/>
    <w:rsid w:val="00AE307A"/>
    <w:rsid w:val="00AE3E73"/>
    <w:rsid w:val="00AF168B"/>
    <w:rsid w:val="00AF7F9F"/>
    <w:rsid w:val="00B00BEB"/>
    <w:rsid w:val="00B024C4"/>
    <w:rsid w:val="00B028AB"/>
    <w:rsid w:val="00B0772C"/>
    <w:rsid w:val="00B134BD"/>
    <w:rsid w:val="00B13A57"/>
    <w:rsid w:val="00B1425D"/>
    <w:rsid w:val="00B21884"/>
    <w:rsid w:val="00B31E64"/>
    <w:rsid w:val="00B33C0E"/>
    <w:rsid w:val="00B4060A"/>
    <w:rsid w:val="00B42FFE"/>
    <w:rsid w:val="00B46029"/>
    <w:rsid w:val="00B47E33"/>
    <w:rsid w:val="00B5633A"/>
    <w:rsid w:val="00B702F4"/>
    <w:rsid w:val="00B76783"/>
    <w:rsid w:val="00B81E4E"/>
    <w:rsid w:val="00B8496C"/>
    <w:rsid w:val="00B9408A"/>
    <w:rsid w:val="00B94647"/>
    <w:rsid w:val="00BA619B"/>
    <w:rsid w:val="00BB0DD7"/>
    <w:rsid w:val="00BB60BC"/>
    <w:rsid w:val="00BB6467"/>
    <w:rsid w:val="00BC1B4A"/>
    <w:rsid w:val="00BC420B"/>
    <w:rsid w:val="00BC5159"/>
    <w:rsid w:val="00BC591A"/>
    <w:rsid w:val="00BC63CA"/>
    <w:rsid w:val="00BD2BBF"/>
    <w:rsid w:val="00BE235D"/>
    <w:rsid w:val="00BE4159"/>
    <w:rsid w:val="00BF463C"/>
    <w:rsid w:val="00BF65BE"/>
    <w:rsid w:val="00C06353"/>
    <w:rsid w:val="00C06F63"/>
    <w:rsid w:val="00C07F1E"/>
    <w:rsid w:val="00C1416B"/>
    <w:rsid w:val="00C14BC8"/>
    <w:rsid w:val="00C223C7"/>
    <w:rsid w:val="00C27C5F"/>
    <w:rsid w:val="00C328A0"/>
    <w:rsid w:val="00C33822"/>
    <w:rsid w:val="00C34E85"/>
    <w:rsid w:val="00C471F9"/>
    <w:rsid w:val="00C532EC"/>
    <w:rsid w:val="00C54B53"/>
    <w:rsid w:val="00C550F5"/>
    <w:rsid w:val="00C61479"/>
    <w:rsid w:val="00C61BEC"/>
    <w:rsid w:val="00C61E27"/>
    <w:rsid w:val="00C6305B"/>
    <w:rsid w:val="00C7341A"/>
    <w:rsid w:val="00C77A72"/>
    <w:rsid w:val="00C81FBA"/>
    <w:rsid w:val="00C84258"/>
    <w:rsid w:val="00C86291"/>
    <w:rsid w:val="00C87490"/>
    <w:rsid w:val="00C87610"/>
    <w:rsid w:val="00C92770"/>
    <w:rsid w:val="00CA27DB"/>
    <w:rsid w:val="00CA5357"/>
    <w:rsid w:val="00CA6040"/>
    <w:rsid w:val="00CA7DA4"/>
    <w:rsid w:val="00CB0550"/>
    <w:rsid w:val="00CD02CD"/>
    <w:rsid w:val="00CD52CC"/>
    <w:rsid w:val="00CE17CE"/>
    <w:rsid w:val="00CF095F"/>
    <w:rsid w:val="00D03EC7"/>
    <w:rsid w:val="00D14BBD"/>
    <w:rsid w:val="00D207B5"/>
    <w:rsid w:val="00D22DC6"/>
    <w:rsid w:val="00D31A99"/>
    <w:rsid w:val="00D32807"/>
    <w:rsid w:val="00D32C18"/>
    <w:rsid w:val="00D34680"/>
    <w:rsid w:val="00D41EF9"/>
    <w:rsid w:val="00D47954"/>
    <w:rsid w:val="00D605E4"/>
    <w:rsid w:val="00D66B10"/>
    <w:rsid w:val="00D72ADB"/>
    <w:rsid w:val="00D75177"/>
    <w:rsid w:val="00D82777"/>
    <w:rsid w:val="00D82AC6"/>
    <w:rsid w:val="00D86CEA"/>
    <w:rsid w:val="00DA1601"/>
    <w:rsid w:val="00DC59BC"/>
    <w:rsid w:val="00DD101E"/>
    <w:rsid w:val="00DD4F07"/>
    <w:rsid w:val="00DE04E5"/>
    <w:rsid w:val="00DE3978"/>
    <w:rsid w:val="00DF57D7"/>
    <w:rsid w:val="00E0061B"/>
    <w:rsid w:val="00E02F76"/>
    <w:rsid w:val="00E04A7C"/>
    <w:rsid w:val="00E073DC"/>
    <w:rsid w:val="00E105B6"/>
    <w:rsid w:val="00E12A19"/>
    <w:rsid w:val="00E15479"/>
    <w:rsid w:val="00E162AC"/>
    <w:rsid w:val="00E22F3D"/>
    <w:rsid w:val="00E30674"/>
    <w:rsid w:val="00E3209D"/>
    <w:rsid w:val="00E35A55"/>
    <w:rsid w:val="00E521EA"/>
    <w:rsid w:val="00E55F10"/>
    <w:rsid w:val="00E574D7"/>
    <w:rsid w:val="00E71278"/>
    <w:rsid w:val="00E737F4"/>
    <w:rsid w:val="00E771B9"/>
    <w:rsid w:val="00E84787"/>
    <w:rsid w:val="00E84E72"/>
    <w:rsid w:val="00E85D74"/>
    <w:rsid w:val="00E91012"/>
    <w:rsid w:val="00E95135"/>
    <w:rsid w:val="00E959BA"/>
    <w:rsid w:val="00E9622C"/>
    <w:rsid w:val="00EA2BEF"/>
    <w:rsid w:val="00EA77F4"/>
    <w:rsid w:val="00EB50E6"/>
    <w:rsid w:val="00EB75B9"/>
    <w:rsid w:val="00EC16DB"/>
    <w:rsid w:val="00EC1E63"/>
    <w:rsid w:val="00EC3F6B"/>
    <w:rsid w:val="00EC65DE"/>
    <w:rsid w:val="00ED1419"/>
    <w:rsid w:val="00EE24D1"/>
    <w:rsid w:val="00EE3459"/>
    <w:rsid w:val="00EE36FC"/>
    <w:rsid w:val="00EF1268"/>
    <w:rsid w:val="00EF7904"/>
    <w:rsid w:val="00F02E0F"/>
    <w:rsid w:val="00F13EC3"/>
    <w:rsid w:val="00F20756"/>
    <w:rsid w:val="00F21759"/>
    <w:rsid w:val="00F251F7"/>
    <w:rsid w:val="00F3551A"/>
    <w:rsid w:val="00F37823"/>
    <w:rsid w:val="00F438DF"/>
    <w:rsid w:val="00F644BB"/>
    <w:rsid w:val="00F73AAE"/>
    <w:rsid w:val="00F74534"/>
    <w:rsid w:val="00FA4236"/>
    <w:rsid w:val="00FA688D"/>
    <w:rsid w:val="00FA7C7E"/>
    <w:rsid w:val="00FB19B2"/>
    <w:rsid w:val="00FB628F"/>
    <w:rsid w:val="00FC7EFF"/>
    <w:rsid w:val="00FD3260"/>
    <w:rsid w:val="00FD790B"/>
    <w:rsid w:val="00FD799B"/>
    <w:rsid w:val="00FE0D9A"/>
    <w:rsid w:val="00FE7539"/>
    <w:rsid w:val="00FF0F0B"/>
    <w:rsid w:val="00FF7EBC"/>
    <w:rsid w:val="339F404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99"/>
    <w:rPr>
      <w:rFonts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Default"/>
    <w:qFormat/>
    <w:uiPriority w:val="99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character" w:customStyle="1" w:styleId="8">
    <w:name w:val="页眉 字符"/>
    <w:basedOn w:val="6"/>
    <w:link w:val="3"/>
    <w:semiHidden/>
    <w:qFormat/>
    <w:locked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semiHidden/>
    <w:qFormat/>
    <w:locked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</Pages>
  <Words>492</Words>
  <Characters>728</Characters>
  <Lines>6</Lines>
  <Paragraphs>1</Paragraphs>
  <TotalTime>9</TotalTime>
  <ScaleCrop>false</ScaleCrop>
  <LinksUpToDate>false</LinksUpToDate>
  <CharactersWithSpaces>795</CharactersWithSpaces>
  <Application>WPS Office_12.1.0.25860_F1E327BC-269C-435d-A152-05C5408002CA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2026-07-14T00:10:00Z</dcterms:created>
  <dc:creator>Administrator</dc:creator>
  <cp:lastModifiedBy>赵海波</cp:lastModifiedBy>
  <cp:lastPrinted>2018-07-11T07:12:00Z</cp:lastPrinted>
  <dcterms:modified xsi:type="dcterms:W3CDTF">2026-07-14T01:10:22Z</dcterms:modified>
  <dc:title>证券代码：600971      证券简称：恒源煤电    公告编号：2017-018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eyJoZGlkIjoiMDQ0OWRlMTgxMTMyYjY3ZjUwOWNmNjRlOGQwYzdhY2YiLCJ1c2VySWQiOiIxNzY1NjE2Njc3In0=</vt:lpwstr>
  </property>
  <property fmtid="{D5CDD505-2E9C-101B-9397-08002B2CF9AE}" pid="3" name="KSOProductBuildVer">
    <vt:lpwstr>2052-12.1.0.25860</vt:lpwstr>
  </property>
  <property fmtid="{D5CDD505-2E9C-101B-9397-08002B2CF9AE}" pid="4" name="ICV">
    <vt:lpwstr>9C6091A9CA2149BC8CEA82E735E7C8F8_12</vt:lpwstr>
  </property>
</Properties>
</file>