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46" w:rsidRDefault="00BD7646" w:rsidP="00BA7A10">
      <w:pPr>
        <w:spacing w:line="560" w:lineRule="exact"/>
        <w:ind w:right="848"/>
        <w:jc w:val="center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证券代码：</w:t>
      </w:r>
      <w:r>
        <w:rPr>
          <w:rFonts w:ascii="宋体" w:hAnsi="宋体" w:cs="宋体"/>
          <w:b/>
          <w:bCs/>
          <w:sz w:val="24"/>
        </w:rPr>
        <w:t xml:space="preserve">600971   </w:t>
      </w:r>
      <w:r w:rsidR="00F62D46">
        <w:rPr>
          <w:rFonts w:ascii="宋体" w:hAnsi="宋体" w:cs="宋体"/>
          <w:b/>
          <w:bCs/>
          <w:sz w:val="24"/>
        </w:rPr>
        <w:t xml:space="preserve"> </w:t>
      </w:r>
      <w:r>
        <w:rPr>
          <w:rFonts w:ascii="宋体" w:hAnsi="宋体" w:cs="宋体"/>
          <w:b/>
          <w:bCs/>
          <w:sz w:val="24"/>
        </w:rPr>
        <w:t xml:space="preserve"> </w:t>
      </w:r>
      <w:r w:rsidR="00F62D46">
        <w:rPr>
          <w:rFonts w:ascii="宋体" w:hAnsi="宋体" w:cs="宋体"/>
          <w:b/>
          <w:bCs/>
          <w:sz w:val="24"/>
        </w:rPr>
        <w:t xml:space="preserve"> </w:t>
      </w:r>
      <w:r>
        <w:rPr>
          <w:rFonts w:ascii="宋体" w:hAnsi="宋体" w:cs="宋体"/>
          <w:b/>
          <w:bCs/>
          <w:sz w:val="24"/>
        </w:rPr>
        <w:t xml:space="preserve"> </w:t>
      </w:r>
      <w:r>
        <w:rPr>
          <w:rFonts w:ascii="宋体" w:hAnsi="宋体" w:cs="宋体" w:hint="eastAsia"/>
          <w:b/>
          <w:bCs/>
          <w:sz w:val="24"/>
        </w:rPr>
        <w:t>证券简称：恒源煤电</w:t>
      </w:r>
      <w:r>
        <w:rPr>
          <w:rFonts w:ascii="宋体" w:hAnsi="宋体" w:cs="宋体"/>
          <w:b/>
          <w:bCs/>
          <w:sz w:val="24"/>
        </w:rPr>
        <w:t xml:space="preserve">   </w:t>
      </w:r>
      <w:r w:rsidR="00F62D46">
        <w:rPr>
          <w:rFonts w:ascii="宋体" w:hAnsi="宋体" w:cs="宋体"/>
          <w:b/>
          <w:bCs/>
          <w:sz w:val="24"/>
        </w:rPr>
        <w:t xml:space="preserve"> </w:t>
      </w:r>
      <w:r>
        <w:rPr>
          <w:rFonts w:ascii="宋体" w:hAnsi="宋体" w:cs="宋体"/>
          <w:b/>
          <w:bCs/>
          <w:sz w:val="24"/>
        </w:rPr>
        <w:t xml:space="preserve"> </w:t>
      </w:r>
      <w:r w:rsidRPr="003A5013">
        <w:rPr>
          <w:rFonts w:ascii="宋体" w:hAnsi="宋体" w:cs="宋体" w:hint="eastAsia"/>
          <w:b/>
          <w:bCs/>
          <w:sz w:val="24"/>
        </w:rPr>
        <w:t>公告编号：</w:t>
      </w:r>
      <w:r w:rsidRPr="003A5013">
        <w:rPr>
          <w:rFonts w:ascii="宋体" w:hAnsi="宋体" w:cs="宋体"/>
          <w:b/>
          <w:bCs/>
          <w:sz w:val="24"/>
        </w:rPr>
        <w:t>20</w:t>
      </w:r>
      <w:r w:rsidRPr="003A5013">
        <w:rPr>
          <w:rFonts w:ascii="宋体" w:hAnsi="宋体" w:cs="宋体" w:hint="eastAsia"/>
          <w:b/>
          <w:bCs/>
          <w:sz w:val="24"/>
        </w:rPr>
        <w:t>2</w:t>
      </w:r>
      <w:r w:rsidR="001B7DAE">
        <w:rPr>
          <w:rFonts w:ascii="宋体" w:hAnsi="宋体" w:cs="宋体"/>
          <w:b/>
          <w:bCs/>
          <w:sz w:val="24"/>
        </w:rPr>
        <w:t>6</w:t>
      </w:r>
      <w:r w:rsidRPr="003A5013">
        <w:rPr>
          <w:rFonts w:ascii="宋体" w:hAnsi="宋体" w:cs="宋体"/>
          <w:b/>
          <w:bCs/>
          <w:color w:val="000000"/>
          <w:sz w:val="24"/>
        </w:rPr>
        <w:t>-</w:t>
      </w:r>
      <w:r w:rsidR="00DF48F5">
        <w:rPr>
          <w:rFonts w:ascii="宋体" w:hAnsi="宋体" w:cs="宋体"/>
          <w:b/>
          <w:bCs/>
          <w:color w:val="000000"/>
          <w:sz w:val="24"/>
        </w:rPr>
        <w:t>03</w:t>
      </w:r>
      <w:r w:rsidR="00DB13F8">
        <w:rPr>
          <w:rFonts w:ascii="宋体" w:hAnsi="宋体" w:cs="宋体"/>
          <w:b/>
          <w:bCs/>
          <w:color w:val="000000"/>
          <w:sz w:val="24"/>
        </w:rPr>
        <w:t>6</w:t>
      </w:r>
    </w:p>
    <w:p w:rsidR="00E6494A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Pr="00C84258" w:rsidRDefault="00BD7646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 w:rsidRPr="00C84258">
        <w:rPr>
          <w:rFonts w:eastAsia="黑体" w:hint="eastAsia"/>
          <w:b/>
          <w:color w:val="FF0000"/>
          <w:sz w:val="36"/>
          <w:szCs w:val="36"/>
        </w:rPr>
        <w:t>安徽恒源煤电股份有限公司</w:t>
      </w:r>
    </w:p>
    <w:p w:rsidR="00BD7646" w:rsidRDefault="00DB13F8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 w:rsidRPr="00DB13F8">
        <w:rPr>
          <w:rFonts w:eastAsia="黑体" w:hint="eastAsia"/>
          <w:b/>
          <w:color w:val="FF0000"/>
          <w:sz w:val="36"/>
          <w:szCs w:val="36"/>
        </w:rPr>
        <w:t>关于</w:t>
      </w:r>
      <w:r w:rsidRPr="00DB13F8">
        <w:rPr>
          <w:rFonts w:eastAsia="黑体" w:hint="eastAsia"/>
          <w:b/>
          <w:color w:val="FF0000"/>
          <w:sz w:val="36"/>
          <w:szCs w:val="36"/>
        </w:rPr>
        <w:t>2026</w:t>
      </w:r>
      <w:r w:rsidRPr="00DB13F8">
        <w:rPr>
          <w:rFonts w:eastAsia="黑体" w:hint="eastAsia"/>
          <w:b/>
          <w:color w:val="FF0000"/>
          <w:sz w:val="36"/>
          <w:szCs w:val="36"/>
        </w:rPr>
        <w:t>年度董事、高级管理人员薪酬方案的公告</w:t>
      </w:r>
    </w:p>
    <w:p w:rsidR="00E6494A" w:rsidRPr="00C84258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Default="00BD7646" w:rsidP="00BA7A1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eastAsia="楷体_GB2312"/>
          <w:sz w:val="28"/>
          <w:szCs w:val="20"/>
        </w:rPr>
      </w:pPr>
      <w:r w:rsidRPr="00462750">
        <w:rPr>
          <w:rFonts w:eastAsia="楷体_GB2312"/>
          <w:sz w:val="28"/>
          <w:szCs w:val="2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2C4F51" w:rsidRDefault="00DB13F8" w:rsidP="00DB13F8">
      <w:pPr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为进一步健全</w:t>
      </w:r>
      <w:r>
        <w:rPr>
          <w:rFonts w:eastAsia="仿宋_GB2312" w:hint="eastAsia"/>
          <w:color w:val="000000"/>
          <w:kern w:val="0"/>
          <w:sz w:val="32"/>
          <w:szCs w:val="32"/>
        </w:rPr>
        <w:t>安徽恒源煤电股份有限公司（以下简称“公司”）</w:t>
      </w:r>
      <w:r>
        <w:rPr>
          <w:rFonts w:eastAsia="仿宋_GB2312"/>
          <w:color w:val="000000"/>
          <w:kern w:val="0"/>
          <w:sz w:val="32"/>
          <w:szCs w:val="32"/>
        </w:rPr>
        <w:t>薪酬激励与约束机制，完善公司治理结构，根据《中华人民共和国公司法》《上市公司治理准则》《</w:t>
      </w:r>
      <w:r w:rsidR="00565A20" w:rsidRPr="006C6B83">
        <w:rPr>
          <w:rFonts w:eastAsia="仿宋_GB2312" w:hint="eastAsia"/>
          <w:color w:val="000000"/>
          <w:kern w:val="0"/>
          <w:sz w:val="32"/>
          <w:szCs w:val="32"/>
        </w:rPr>
        <w:t>安徽恒源煤电股份有限公司</w:t>
      </w:r>
      <w:r>
        <w:rPr>
          <w:rFonts w:eastAsia="仿宋_GB2312"/>
          <w:color w:val="000000"/>
          <w:kern w:val="0"/>
          <w:sz w:val="32"/>
          <w:szCs w:val="32"/>
        </w:rPr>
        <w:t>章程》《</w:t>
      </w:r>
      <w:r w:rsidRPr="006C6B83">
        <w:rPr>
          <w:rFonts w:eastAsia="仿宋_GB2312" w:hint="eastAsia"/>
          <w:color w:val="000000"/>
          <w:kern w:val="0"/>
          <w:sz w:val="32"/>
          <w:szCs w:val="32"/>
        </w:rPr>
        <w:t>安徽恒源煤电股份有限公司董事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、</w:t>
      </w:r>
      <w:r w:rsidRPr="006C6B83">
        <w:rPr>
          <w:rFonts w:eastAsia="仿宋_GB2312" w:hint="eastAsia"/>
          <w:color w:val="000000"/>
          <w:kern w:val="0"/>
          <w:sz w:val="32"/>
          <w:szCs w:val="32"/>
        </w:rPr>
        <w:t>高级管理人员薪酬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管理</w:t>
      </w:r>
      <w:r w:rsidRPr="006C6B83">
        <w:rPr>
          <w:rFonts w:eastAsia="仿宋_GB2312" w:hint="eastAsia"/>
          <w:color w:val="000000"/>
          <w:kern w:val="0"/>
          <w:sz w:val="32"/>
          <w:szCs w:val="32"/>
        </w:rPr>
        <w:t>制度</w:t>
      </w:r>
      <w:r>
        <w:rPr>
          <w:rFonts w:eastAsia="仿宋_GB2312"/>
          <w:color w:val="000000"/>
          <w:kern w:val="0"/>
          <w:sz w:val="32"/>
          <w:szCs w:val="32"/>
        </w:rPr>
        <w:t>》等相关规定，结合公司经营发展实际、行业薪酬水平及岗位履职要求，</w:t>
      </w:r>
      <w:r>
        <w:rPr>
          <w:rFonts w:eastAsia="仿宋_GB2312" w:hint="eastAsia"/>
          <w:color w:val="000000"/>
          <w:kern w:val="0"/>
          <w:sz w:val="32"/>
          <w:szCs w:val="32"/>
        </w:rPr>
        <w:t>公司制定了</w:t>
      </w:r>
      <w:r>
        <w:rPr>
          <w:rFonts w:eastAsia="仿宋_GB2312"/>
          <w:color w:val="000000"/>
          <w:kern w:val="0"/>
          <w:sz w:val="32"/>
          <w:szCs w:val="32"/>
        </w:rPr>
        <w:t>2026</w:t>
      </w:r>
      <w:r>
        <w:rPr>
          <w:rFonts w:eastAsia="仿宋_GB2312"/>
          <w:color w:val="000000"/>
          <w:kern w:val="0"/>
          <w:sz w:val="32"/>
          <w:szCs w:val="32"/>
        </w:rPr>
        <w:t>年度</w:t>
      </w:r>
      <w:r>
        <w:rPr>
          <w:rFonts w:eastAsia="仿宋_GB2312" w:hint="eastAsia"/>
          <w:color w:val="000000"/>
          <w:kern w:val="0"/>
          <w:sz w:val="32"/>
          <w:szCs w:val="32"/>
        </w:rPr>
        <w:t>董事、</w:t>
      </w:r>
      <w:r>
        <w:rPr>
          <w:rFonts w:eastAsia="仿宋_GB2312"/>
          <w:color w:val="000000"/>
          <w:kern w:val="0"/>
          <w:sz w:val="32"/>
          <w:szCs w:val="32"/>
        </w:rPr>
        <w:t>高级管理人员薪酬方案</w:t>
      </w:r>
      <w:r>
        <w:rPr>
          <w:rFonts w:eastAsia="仿宋_GB2312" w:hint="eastAsia"/>
          <w:color w:val="000000"/>
          <w:kern w:val="0"/>
          <w:sz w:val="32"/>
          <w:szCs w:val="32"/>
        </w:rPr>
        <w:t>，具体情况公告如下：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一、适用对象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公司2026年度任职的董事、高级管理人员。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二、适用期限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2026年1月1日至2026年12月31日。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三、薪酬方案</w:t>
      </w:r>
    </w:p>
    <w:p w:rsidR="00DB13F8" w:rsidRP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楷体_GB2312" w:eastAsia="楷体_GB2312" w:hAnsi="Arial" w:cs="Arial"/>
          <w:color w:val="000000"/>
          <w:kern w:val="0"/>
          <w:sz w:val="32"/>
          <w:szCs w:val="32"/>
        </w:rPr>
      </w:pPr>
      <w:r w:rsidRPr="00DB13F8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（一）董事薪酬方案</w:t>
      </w:r>
    </w:p>
    <w:p w:rsidR="00DB13F8" w:rsidRDefault="00DB13F8" w:rsidP="00DB13F8">
      <w:pPr>
        <w:spacing w:line="560" w:lineRule="exact"/>
        <w:ind w:rightChars="20" w:right="42"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bookmarkStart w:id="0" w:name="OLE_LINK1"/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非独立董事</w:t>
      </w:r>
      <w:bookmarkEnd w:id="0"/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：在公司担任经营管理职务的非独立董事，按照《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安徽恒源煤电股份有限公司董事、</w:t>
      </w:r>
      <w:r w:rsidRPr="000D2064">
        <w:rPr>
          <w:rFonts w:eastAsia="仿宋_GB2312" w:hint="eastAsia"/>
          <w:color w:val="000000"/>
          <w:kern w:val="0"/>
          <w:sz w:val="32"/>
          <w:szCs w:val="32"/>
        </w:rPr>
        <w:t>高级管理人员薪酬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管理</w:t>
      </w:r>
      <w:r w:rsidRPr="000D2064">
        <w:rPr>
          <w:rFonts w:eastAsia="仿宋_GB2312" w:hint="eastAsia"/>
          <w:color w:val="000000"/>
          <w:kern w:val="0"/>
          <w:sz w:val="32"/>
          <w:szCs w:val="32"/>
        </w:rPr>
        <w:t>制度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》相关规定执行，</w:t>
      </w:r>
      <w:r>
        <w:rPr>
          <w:rFonts w:eastAsia="仿宋_GB2312"/>
          <w:color w:val="000000"/>
          <w:kern w:val="0"/>
          <w:sz w:val="32"/>
          <w:szCs w:val="32"/>
        </w:rPr>
        <w:t>薪酬由</w:t>
      </w:r>
      <w:r>
        <w:rPr>
          <w:rFonts w:eastAsia="仿宋_GB2312"/>
          <w:sz w:val="32"/>
          <w:szCs w:val="32"/>
        </w:rPr>
        <w:t>年度薪酬、任期激励和特</w:t>
      </w:r>
      <w:r>
        <w:rPr>
          <w:rFonts w:eastAsia="仿宋_GB2312"/>
          <w:sz w:val="32"/>
          <w:szCs w:val="32"/>
        </w:rPr>
        <w:lastRenderedPageBreak/>
        <w:t>别奖励</w:t>
      </w:r>
      <w:r>
        <w:rPr>
          <w:rFonts w:eastAsia="仿宋_GB2312"/>
          <w:color w:val="000000"/>
          <w:kern w:val="0"/>
          <w:sz w:val="32"/>
          <w:szCs w:val="32"/>
        </w:rPr>
        <w:t>构成</w:t>
      </w:r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年度薪酬</w:t>
      </w:r>
      <w:r>
        <w:rPr>
          <w:rFonts w:eastAsia="仿宋_GB2312"/>
          <w:color w:val="000000"/>
          <w:sz w:val="32"/>
          <w:szCs w:val="32"/>
        </w:rPr>
        <w:t>=</w:t>
      </w:r>
      <w:r>
        <w:rPr>
          <w:rFonts w:eastAsia="仿宋_GB2312"/>
          <w:color w:val="000000"/>
          <w:sz w:val="32"/>
          <w:szCs w:val="32"/>
        </w:rPr>
        <w:t>基本薪酬</w:t>
      </w:r>
      <w:r>
        <w:rPr>
          <w:rFonts w:eastAsia="仿宋_GB2312"/>
          <w:color w:val="000000"/>
          <w:sz w:val="32"/>
          <w:szCs w:val="32"/>
        </w:rPr>
        <w:t>+</w:t>
      </w:r>
      <w:r>
        <w:rPr>
          <w:rFonts w:eastAsia="仿宋_GB2312"/>
          <w:color w:val="000000"/>
          <w:sz w:val="32"/>
          <w:szCs w:val="32"/>
        </w:rPr>
        <w:t>绩效薪酬</w:t>
      </w:r>
      <w:r>
        <w:rPr>
          <w:rFonts w:eastAsia="仿宋_GB2312"/>
          <w:color w:val="000000"/>
          <w:sz w:val="32"/>
          <w:szCs w:val="32"/>
        </w:rPr>
        <w:t>+</w:t>
      </w:r>
      <w:r>
        <w:rPr>
          <w:rFonts w:eastAsia="仿宋_GB2312"/>
          <w:color w:val="000000"/>
          <w:sz w:val="32"/>
          <w:szCs w:val="32"/>
        </w:rPr>
        <w:t>安全薪酬</w:t>
      </w:r>
      <w:r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其中，绩效薪酬占比高于基本薪酬与绩效薪酬之和的</w:t>
      </w:r>
      <w:r>
        <w:rPr>
          <w:rFonts w:eastAsia="仿宋_GB2312"/>
          <w:color w:val="000000"/>
          <w:sz w:val="32"/>
          <w:szCs w:val="32"/>
        </w:rPr>
        <w:t>50%</w:t>
      </w:r>
      <w:r w:rsidR="002C3343">
        <w:rPr>
          <w:rFonts w:eastAsia="仿宋_GB2312"/>
          <w:color w:val="000000"/>
          <w:kern w:val="0"/>
          <w:sz w:val="32"/>
          <w:szCs w:val="32"/>
        </w:rPr>
        <w:t>，具体核定与兑现根据公司年度经营业绩、</w:t>
      </w:r>
      <w:r>
        <w:rPr>
          <w:rFonts w:eastAsia="仿宋_GB2312"/>
          <w:color w:val="000000"/>
          <w:kern w:val="0"/>
          <w:sz w:val="32"/>
          <w:szCs w:val="32"/>
        </w:rPr>
        <w:t>绩效考核结果及个人履职评价结果确定</w:t>
      </w:r>
      <w:r>
        <w:rPr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不额外领取董事津贴；未在公司担任经营管理职务的非独立董事，不领取薪酬。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独立董事：独立董事津贴按税后8万元/年标准执行，每季度发放一次，不额外领取其他薪酬。</w:t>
      </w:r>
    </w:p>
    <w:p w:rsidR="00DB13F8" w:rsidRP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楷体_GB2312" w:eastAsia="楷体_GB2312" w:hAnsi="Arial" w:cs="Arial"/>
          <w:color w:val="000000"/>
          <w:kern w:val="0"/>
          <w:sz w:val="32"/>
          <w:szCs w:val="32"/>
        </w:rPr>
      </w:pPr>
      <w:r w:rsidRPr="00DB13F8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（</w:t>
      </w:r>
      <w:r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二</w:t>
      </w:r>
      <w:r w:rsidRPr="00DB13F8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）</w:t>
      </w:r>
      <w:r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高级管理人员</w:t>
      </w:r>
      <w:r w:rsidRPr="00DB13F8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薪酬方案</w:t>
      </w:r>
    </w:p>
    <w:p w:rsidR="00DB13F8" w:rsidRDefault="00DB13F8" w:rsidP="00DB13F8">
      <w:pPr>
        <w:spacing w:line="560" w:lineRule="exact"/>
        <w:ind w:rightChars="20" w:right="42"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公司高级管理人员薪酬按照《</w:t>
      </w:r>
      <w:r>
        <w:rPr>
          <w:rFonts w:eastAsia="仿宋_GB2312" w:hint="eastAsia"/>
          <w:color w:val="000000"/>
          <w:kern w:val="0"/>
          <w:sz w:val="32"/>
          <w:szCs w:val="32"/>
        </w:rPr>
        <w:t>安徽恒源煤电股份有限公司董事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、</w:t>
      </w:r>
      <w:r>
        <w:rPr>
          <w:rFonts w:eastAsia="仿宋_GB2312" w:hint="eastAsia"/>
          <w:color w:val="000000"/>
          <w:kern w:val="0"/>
          <w:sz w:val="32"/>
          <w:szCs w:val="32"/>
        </w:rPr>
        <w:t>高级管理人员薪酬</w:t>
      </w:r>
      <w:r w:rsidR="002875FC">
        <w:rPr>
          <w:rFonts w:eastAsia="仿宋_GB2312" w:hint="eastAsia"/>
          <w:color w:val="000000"/>
          <w:kern w:val="0"/>
          <w:sz w:val="32"/>
          <w:szCs w:val="32"/>
        </w:rPr>
        <w:t>管理</w:t>
      </w:r>
      <w:r>
        <w:rPr>
          <w:rFonts w:eastAsia="仿宋_GB2312" w:hint="eastAsia"/>
          <w:color w:val="000000"/>
          <w:kern w:val="0"/>
          <w:sz w:val="32"/>
          <w:szCs w:val="32"/>
        </w:rPr>
        <w:t>制度</w:t>
      </w:r>
      <w:r>
        <w:rPr>
          <w:rFonts w:eastAsia="仿宋_GB2312"/>
          <w:color w:val="000000"/>
          <w:kern w:val="0"/>
          <w:sz w:val="32"/>
          <w:szCs w:val="32"/>
        </w:rPr>
        <w:t>》执行，薪酬由</w:t>
      </w:r>
      <w:r>
        <w:rPr>
          <w:rFonts w:eastAsia="仿宋_GB2312"/>
          <w:sz w:val="32"/>
          <w:szCs w:val="32"/>
        </w:rPr>
        <w:t>年度薪酬、任期激励和特别奖励</w:t>
      </w:r>
      <w:r>
        <w:rPr>
          <w:rFonts w:eastAsia="仿宋_GB2312"/>
          <w:color w:val="000000"/>
          <w:kern w:val="0"/>
          <w:sz w:val="32"/>
          <w:szCs w:val="32"/>
        </w:rPr>
        <w:t>构成</w:t>
      </w:r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年度薪酬</w:t>
      </w:r>
      <w:r>
        <w:rPr>
          <w:rFonts w:eastAsia="仿宋_GB2312"/>
          <w:color w:val="000000"/>
          <w:sz w:val="32"/>
          <w:szCs w:val="32"/>
        </w:rPr>
        <w:t>=</w:t>
      </w:r>
      <w:r>
        <w:rPr>
          <w:rFonts w:eastAsia="仿宋_GB2312"/>
          <w:color w:val="000000"/>
          <w:sz w:val="32"/>
          <w:szCs w:val="32"/>
        </w:rPr>
        <w:t>基本薪酬</w:t>
      </w:r>
      <w:r>
        <w:rPr>
          <w:rFonts w:eastAsia="仿宋_GB2312"/>
          <w:color w:val="000000"/>
          <w:sz w:val="32"/>
          <w:szCs w:val="32"/>
        </w:rPr>
        <w:t>+</w:t>
      </w:r>
      <w:r>
        <w:rPr>
          <w:rFonts w:eastAsia="仿宋_GB2312"/>
          <w:color w:val="000000"/>
          <w:sz w:val="32"/>
          <w:szCs w:val="32"/>
        </w:rPr>
        <w:t>绩效薪酬</w:t>
      </w:r>
      <w:r>
        <w:rPr>
          <w:rFonts w:eastAsia="仿宋_GB2312"/>
          <w:color w:val="000000"/>
          <w:sz w:val="32"/>
          <w:szCs w:val="32"/>
        </w:rPr>
        <w:t>+</w:t>
      </w:r>
      <w:r>
        <w:rPr>
          <w:rFonts w:eastAsia="仿宋_GB2312"/>
          <w:color w:val="000000"/>
          <w:sz w:val="32"/>
          <w:szCs w:val="32"/>
        </w:rPr>
        <w:t>安全薪酬</w:t>
      </w:r>
      <w:r w:rsidR="00897994"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其中，绩效薪酬占比高于基本薪酬与绩效薪酬之和的</w:t>
      </w:r>
      <w:r>
        <w:rPr>
          <w:rFonts w:eastAsia="仿宋_GB2312"/>
          <w:color w:val="000000"/>
          <w:sz w:val="32"/>
          <w:szCs w:val="32"/>
        </w:rPr>
        <w:t>50%</w:t>
      </w:r>
      <w:r w:rsidR="002C3343">
        <w:rPr>
          <w:rFonts w:eastAsia="仿宋_GB2312"/>
          <w:color w:val="000000"/>
          <w:kern w:val="0"/>
          <w:sz w:val="32"/>
          <w:szCs w:val="32"/>
        </w:rPr>
        <w:t>，具体核定与兑现根据公司年度经营业绩、</w:t>
      </w:r>
      <w:r>
        <w:rPr>
          <w:rFonts w:eastAsia="仿宋_GB2312"/>
          <w:color w:val="000000"/>
          <w:kern w:val="0"/>
          <w:sz w:val="32"/>
          <w:szCs w:val="32"/>
        </w:rPr>
        <w:t>绩效考核结果及个人履职评价结果确定。</w:t>
      </w:r>
    </w:p>
    <w:p w:rsidR="00DB13F8" w:rsidRDefault="00DB13F8" w:rsidP="00DB13F8">
      <w:pPr>
        <w:widowControl/>
        <w:spacing w:line="560" w:lineRule="exact"/>
        <w:ind w:firstLineChars="200" w:firstLine="640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四、其他相关规定</w:t>
      </w:r>
    </w:p>
    <w:p w:rsidR="00DB13F8" w:rsidRDefault="00897994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本方案所列非独立董事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、高级管理人员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薪酬为税前金额，涉及的个人所得税由公司统一代扣代缴；</w:t>
      </w:r>
    </w:p>
    <w:p w:rsidR="00DB13F8" w:rsidRDefault="00897994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公司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董事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、高级管理人员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因换届、改选、任期内辞职、工作调整等原因离任的，薪酬按其实际任职期限据实核算发放；</w:t>
      </w:r>
    </w:p>
    <w:p w:rsidR="00DB13F8" w:rsidRDefault="00897994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公司董事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、高级管理人员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不得在公司下属子公司或关联企业重复领取工资、奖金、津补贴等任何形式的薪酬报酬；</w:t>
      </w:r>
    </w:p>
    <w:p w:rsidR="00DB13F8" w:rsidRDefault="00897994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4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本方案所述非独立董事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、高级管理人员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薪酬不包含公司按国家规定为员工缴纳的社会保险、住房公积金等法定福利。</w:t>
      </w:r>
    </w:p>
    <w:p w:rsidR="00DB13F8" w:rsidRDefault="00897994" w:rsidP="00DB13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.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公司将按照相关规定，在定期报告中披露董事</w:t>
      </w:r>
      <w:r w:rsidR="002875FC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、高级管理人员</w:t>
      </w:r>
      <w:r w:rsidR="00DB13F8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薪酬的实际发放情况。</w:t>
      </w:r>
    </w:p>
    <w:p w:rsidR="00897994" w:rsidRPr="00897994" w:rsidRDefault="00897994" w:rsidP="008979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  <w:r w:rsidRPr="00897994"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五、审议情况</w:t>
      </w:r>
    </w:p>
    <w:p w:rsidR="00897994" w:rsidRDefault="00897994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（一）薪酬与考核委员会审议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情况</w:t>
      </w:r>
    </w:p>
    <w:p w:rsidR="005E7F25" w:rsidRDefault="00897994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公司于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5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28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日</w:t>
      </w:r>
      <w:r w:rsidR="002875FC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，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召开薪酬与考核委员会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年第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四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次会议，审议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了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《关于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年度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董事薪酬方案的议案》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和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《关于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年度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高级管理人员薪酬方案的议案》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，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其中审议董事薪酬方案时，全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体委员回避表决，直接提交公司董事会审议。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审议高级管理人员薪酬方案时，</w:t>
      </w:r>
      <w:r w:rsidR="00CA5E9B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因委员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焦殿志同时担任公司高级管理人员，其对该议案回避表决，</w:t>
      </w:r>
      <w:r w:rsidR="000310F7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其余委员一致同意该议案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。</w:t>
      </w:r>
    </w:p>
    <w:p w:rsidR="005E7F25" w:rsidRDefault="00897994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（二）董事会审议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情况</w:t>
      </w:r>
    </w:p>
    <w:p w:rsidR="005E7F25" w:rsidRDefault="00897994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公司于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年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5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月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29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日召开第八届董事会第二十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六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次会议，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审议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了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《关于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年度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董事薪酬方案的议案》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和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《关于</w:t>
      </w:r>
      <w:r w:rsidR="005E7F25">
        <w:rPr>
          <w:rFonts w:ascii="仿宋_GB2312" w:eastAsia="仿宋_GB2312" w:hAnsi="Arial" w:cs="Arial"/>
          <w:color w:val="000000"/>
          <w:kern w:val="0"/>
          <w:sz w:val="32"/>
          <w:szCs w:val="32"/>
        </w:rPr>
        <w:t>2026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年度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高级管理人员薪酬方案的议案》，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其中审议董事薪酬方案时，全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体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董事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回避表决，直接提交公司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股东</w:t>
      </w:r>
      <w:r w:rsidR="005E7F25"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会审议。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审议高级管理人员薪酬方案时，</w:t>
      </w:r>
      <w:r w:rsidR="00CA5E9B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因</w:t>
      </w:r>
      <w:r w:rsidR="005E7F2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公司董事焦殿志、朱四一同时担任公司高级管理人员，其对该议案回避表决，其余董事一致同意该议案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。</w:t>
      </w:r>
    </w:p>
    <w:p w:rsidR="00DB13F8" w:rsidRPr="00897994" w:rsidRDefault="00897994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t>根据规定，上述高级管理人员薪酬方案自董事会审议通过之日起生效，董事薪酬方案尚需提交公司股东会审议通过</w:t>
      </w:r>
      <w:r w:rsidRPr="00897994">
        <w:rPr>
          <w:rFonts w:ascii="仿宋_GB2312" w:eastAsia="仿宋_GB2312" w:hAnsi="Arial" w:cs="Arial"/>
          <w:color w:val="000000"/>
          <w:kern w:val="0"/>
          <w:sz w:val="32"/>
          <w:szCs w:val="32"/>
        </w:rPr>
        <w:lastRenderedPageBreak/>
        <w:t>后方可生效。</w:t>
      </w:r>
    </w:p>
    <w:p w:rsidR="00DB13F8" w:rsidRPr="000310F7" w:rsidRDefault="000310F7" w:rsidP="00DB13F8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0310F7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特此公告。</w:t>
      </w:r>
    </w:p>
    <w:p w:rsidR="00131087" w:rsidRPr="00BA7A10" w:rsidRDefault="0013108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131087" w:rsidRPr="00BA7A10" w:rsidRDefault="00131087" w:rsidP="00BA7A10">
      <w:pPr>
        <w:spacing w:line="560" w:lineRule="exact"/>
        <w:ind w:firstLineChars="1200" w:firstLine="3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安徽恒源煤电股份有限公司董事会</w:t>
      </w:r>
    </w:p>
    <w:p w:rsidR="00131087" w:rsidRPr="00BA7A10" w:rsidRDefault="00131087" w:rsidP="00BA7A10">
      <w:pPr>
        <w:spacing w:line="560" w:lineRule="exact"/>
        <w:ind w:firstLineChars="1550" w:firstLine="465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E43B29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E43B29">
        <w:rPr>
          <w:rFonts w:ascii="仿宋_GB2312" w:eastAsia="仿宋_GB2312" w:hAnsi="宋体"/>
          <w:sz w:val="30"/>
          <w:szCs w:val="30"/>
        </w:rPr>
        <w:t>30</w:t>
      </w:r>
      <w:r w:rsidRPr="00BA7A10">
        <w:rPr>
          <w:rFonts w:ascii="仿宋_GB2312" w:eastAsia="仿宋_GB2312" w:hAnsi="宋体" w:hint="eastAsia"/>
          <w:sz w:val="30"/>
          <w:szCs w:val="30"/>
        </w:rPr>
        <w:t>日</w:t>
      </w:r>
      <w:bookmarkStart w:id="1" w:name="_GoBack"/>
      <w:bookmarkEnd w:id="1"/>
    </w:p>
    <w:sectPr w:rsidR="00131087" w:rsidRPr="00BA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093" w:rsidRDefault="00781093" w:rsidP="00524574">
      <w:r>
        <w:separator/>
      </w:r>
    </w:p>
  </w:endnote>
  <w:endnote w:type="continuationSeparator" w:id="0">
    <w:p w:rsidR="00781093" w:rsidRDefault="00781093" w:rsidP="005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093" w:rsidRDefault="00781093" w:rsidP="00524574">
      <w:r>
        <w:separator/>
      </w:r>
    </w:p>
  </w:footnote>
  <w:footnote w:type="continuationSeparator" w:id="0">
    <w:p w:rsidR="00781093" w:rsidRDefault="00781093" w:rsidP="00524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01"/>
    <w:rsid w:val="00004AC2"/>
    <w:rsid w:val="00021B11"/>
    <w:rsid w:val="000310F7"/>
    <w:rsid w:val="00031394"/>
    <w:rsid w:val="00033DAD"/>
    <w:rsid w:val="00042FBA"/>
    <w:rsid w:val="00054B6F"/>
    <w:rsid w:val="00066F27"/>
    <w:rsid w:val="00077DFC"/>
    <w:rsid w:val="000A5BCE"/>
    <w:rsid w:val="000F66FC"/>
    <w:rsid w:val="00131087"/>
    <w:rsid w:val="00145A60"/>
    <w:rsid w:val="00150C04"/>
    <w:rsid w:val="00154700"/>
    <w:rsid w:val="00155D09"/>
    <w:rsid w:val="001611C5"/>
    <w:rsid w:val="001653F0"/>
    <w:rsid w:val="001808D1"/>
    <w:rsid w:val="00180F33"/>
    <w:rsid w:val="0018710B"/>
    <w:rsid w:val="001A4EE9"/>
    <w:rsid w:val="001B7DAE"/>
    <w:rsid w:val="00216E0B"/>
    <w:rsid w:val="00223E53"/>
    <w:rsid w:val="002875FC"/>
    <w:rsid w:val="002B028E"/>
    <w:rsid w:val="002B2398"/>
    <w:rsid w:val="002B3837"/>
    <w:rsid w:val="002C3343"/>
    <w:rsid w:val="002C4F51"/>
    <w:rsid w:val="002D3E29"/>
    <w:rsid w:val="0030060C"/>
    <w:rsid w:val="0031310A"/>
    <w:rsid w:val="00343EA7"/>
    <w:rsid w:val="00362243"/>
    <w:rsid w:val="00391469"/>
    <w:rsid w:val="00397F27"/>
    <w:rsid w:val="003A5013"/>
    <w:rsid w:val="003B753C"/>
    <w:rsid w:val="003F195E"/>
    <w:rsid w:val="00427C78"/>
    <w:rsid w:val="004419F6"/>
    <w:rsid w:val="00461446"/>
    <w:rsid w:val="00465084"/>
    <w:rsid w:val="0047372D"/>
    <w:rsid w:val="004838C5"/>
    <w:rsid w:val="004944DB"/>
    <w:rsid w:val="00495968"/>
    <w:rsid w:val="004C7924"/>
    <w:rsid w:val="00501196"/>
    <w:rsid w:val="00507B6F"/>
    <w:rsid w:val="00524574"/>
    <w:rsid w:val="00565A20"/>
    <w:rsid w:val="00570695"/>
    <w:rsid w:val="005824E6"/>
    <w:rsid w:val="005836B9"/>
    <w:rsid w:val="005E046F"/>
    <w:rsid w:val="005E7F25"/>
    <w:rsid w:val="00602E8B"/>
    <w:rsid w:val="006042F1"/>
    <w:rsid w:val="00630830"/>
    <w:rsid w:val="00634BB7"/>
    <w:rsid w:val="006678F8"/>
    <w:rsid w:val="00672659"/>
    <w:rsid w:val="00690C47"/>
    <w:rsid w:val="0069172B"/>
    <w:rsid w:val="006A350B"/>
    <w:rsid w:val="006D071E"/>
    <w:rsid w:val="007018F9"/>
    <w:rsid w:val="0076286D"/>
    <w:rsid w:val="00781093"/>
    <w:rsid w:val="00791FD6"/>
    <w:rsid w:val="007A58B1"/>
    <w:rsid w:val="007B33D4"/>
    <w:rsid w:val="007E109C"/>
    <w:rsid w:val="007F18D4"/>
    <w:rsid w:val="00812342"/>
    <w:rsid w:val="00846B43"/>
    <w:rsid w:val="008561F2"/>
    <w:rsid w:val="00874B8C"/>
    <w:rsid w:val="00877AE0"/>
    <w:rsid w:val="0088318E"/>
    <w:rsid w:val="00887623"/>
    <w:rsid w:val="00892726"/>
    <w:rsid w:val="00897994"/>
    <w:rsid w:val="008A6C9F"/>
    <w:rsid w:val="008B2401"/>
    <w:rsid w:val="008C5E35"/>
    <w:rsid w:val="008C7E08"/>
    <w:rsid w:val="008D5683"/>
    <w:rsid w:val="00981192"/>
    <w:rsid w:val="00990E27"/>
    <w:rsid w:val="00993410"/>
    <w:rsid w:val="00A07F54"/>
    <w:rsid w:val="00A10F9E"/>
    <w:rsid w:val="00A11B61"/>
    <w:rsid w:val="00A156A1"/>
    <w:rsid w:val="00A40139"/>
    <w:rsid w:val="00A6038C"/>
    <w:rsid w:val="00AA570E"/>
    <w:rsid w:val="00AD1997"/>
    <w:rsid w:val="00B56EB3"/>
    <w:rsid w:val="00BA2620"/>
    <w:rsid w:val="00BA35DE"/>
    <w:rsid w:val="00BA7A10"/>
    <w:rsid w:val="00BC330C"/>
    <w:rsid w:val="00BC4EAC"/>
    <w:rsid w:val="00BC5F15"/>
    <w:rsid w:val="00BD0DCD"/>
    <w:rsid w:val="00BD7646"/>
    <w:rsid w:val="00BF6B2A"/>
    <w:rsid w:val="00C00B75"/>
    <w:rsid w:val="00C051DB"/>
    <w:rsid w:val="00C30954"/>
    <w:rsid w:val="00C72D3D"/>
    <w:rsid w:val="00CA5E9B"/>
    <w:rsid w:val="00D43A63"/>
    <w:rsid w:val="00D46626"/>
    <w:rsid w:val="00D50C9E"/>
    <w:rsid w:val="00D54AE7"/>
    <w:rsid w:val="00D85739"/>
    <w:rsid w:val="00D923FD"/>
    <w:rsid w:val="00DB13F8"/>
    <w:rsid w:val="00DC67FC"/>
    <w:rsid w:val="00DD386E"/>
    <w:rsid w:val="00DF38FE"/>
    <w:rsid w:val="00DF48F5"/>
    <w:rsid w:val="00E1600B"/>
    <w:rsid w:val="00E162B7"/>
    <w:rsid w:val="00E43B29"/>
    <w:rsid w:val="00E5046C"/>
    <w:rsid w:val="00E52695"/>
    <w:rsid w:val="00E6494A"/>
    <w:rsid w:val="00E66690"/>
    <w:rsid w:val="00E7213D"/>
    <w:rsid w:val="00E854DA"/>
    <w:rsid w:val="00EF2FFB"/>
    <w:rsid w:val="00F304DF"/>
    <w:rsid w:val="00F314CC"/>
    <w:rsid w:val="00F62D46"/>
    <w:rsid w:val="00F66A55"/>
    <w:rsid w:val="00F813BF"/>
    <w:rsid w:val="00F94BC3"/>
    <w:rsid w:val="00FA35CA"/>
    <w:rsid w:val="00FC16E8"/>
    <w:rsid w:val="00FC5C65"/>
    <w:rsid w:val="00FD5401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DAD9C"/>
  <w15:docId w15:val="{D104E3E9-3EB4-4B9C-ABFA-6D786976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6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77D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77DFC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3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230</Words>
  <Characters>1316</Characters>
  <Application>Microsoft Office Word</Application>
  <DocSecurity>0</DocSecurity>
  <Lines>10</Lines>
  <Paragraphs>3</Paragraphs>
  <ScaleCrop>false</ScaleCrop>
  <Company>52flin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张保军</dc:creator>
  <cp:lastModifiedBy>赵海波</cp:lastModifiedBy>
  <cp:revision>66</cp:revision>
  <cp:lastPrinted>2026-03-26T02:39:00Z</cp:lastPrinted>
  <dcterms:created xsi:type="dcterms:W3CDTF">2024-03-26T03:08:00Z</dcterms:created>
  <dcterms:modified xsi:type="dcterms:W3CDTF">2026-05-28T02:32:00Z</dcterms:modified>
</cp:coreProperties>
</file>