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D82777">
        <w:rPr>
          <w:rFonts w:ascii="宋体" w:hAnsi="宋体" w:cs="宋体"/>
          <w:b/>
          <w:bCs/>
          <w:sz w:val="24"/>
          <w:szCs w:val="24"/>
        </w:rPr>
        <w:t>5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546C8A">
        <w:rPr>
          <w:rFonts w:ascii="宋体" w:hAnsi="宋体" w:cs="宋体"/>
          <w:b/>
          <w:bCs/>
          <w:sz w:val="24"/>
          <w:szCs w:val="24"/>
        </w:rPr>
        <w:t>20</w:t>
      </w:r>
    </w:p>
    <w:p w:rsidR="00844E63" w:rsidRPr="006A18B2" w:rsidRDefault="00844E63" w:rsidP="00C532E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2119FF">
        <w:rPr>
          <w:rFonts w:eastAsia="黑体" w:cs="黑体"/>
          <w:b/>
          <w:bCs/>
          <w:color w:val="FF0000"/>
          <w:sz w:val="36"/>
          <w:szCs w:val="36"/>
        </w:rPr>
        <w:t>5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2119FF">
        <w:rPr>
          <w:rFonts w:eastAsia="黑体" w:cs="黑体" w:hint="eastAsia"/>
          <w:b/>
          <w:bCs/>
          <w:color w:val="FF0000"/>
          <w:sz w:val="36"/>
          <w:szCs w:val="36"/>
        </w:rPr>
        <w:t>一季</w:t>
      </w:r>
      <w:r w:rsidR="00177717" w:rsidRPr="006A18B2">
        <w:rPr>
          <w:rFonts w:eastAsia="黑体" w:cs="黑体" w:hint="eastAsia"/>
          <w:b/>
          <w:bCs/>
          <w:color w:val="FF0000"/>
          <w:sz w:val="36"/>
          <w:szCs w:val="36"/>
        </w:rPr>
        <w:t>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C532E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C532EC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根据上海证券交易所《上市公司行业信息披露指引第二号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</w:t>
      </w:r>
      <w:r w:rsidR="00844E63">
        <w:rPr>
          <w:rFonts w:cs="宋体" w:hint="eastAsia"/>
          <w:sz w:val="28"/>
          <w:szCs w:val="28"/>
        </w:rPr>
        <w:t>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2119FF">
        <w:rPr>
          <w:rFonts w:cs="宋体"/>
          <w:sz w:val="28"/>
          <w:szCs w:val="28"/>
        </w:rPr>
        <w:t>5</w:t>
      </w:r>
      <w:r w:rsidR="00844E63" w:rsidRPr="006A18B2">
        <w:rPr>
          <w:rFonts w:cs="宋体" w:hint="eastAsia"/>
          <w:sz w:val="28"/>
          <w:szCs w:val="28"/>
        </w:rPr>
        <w:t>年</w:t>
      </w:r>
      <w:r w:rsidR="002119FF">
        <w:rPr>
          <w:rFonts w:cs="宋体" w:hint="eastAsia"/>
          <w:sz w:val="28"/>
          <w:szCs w:val="28"/>
        </w:rPr>
        <w:t>一季度</w:t>
      </w:r>
      <w:r w:rsidR="00844E63"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153BC3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本年数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236.62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254.42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-7.00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175.35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194.86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-10.01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160.03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191.71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-16.52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110,704.14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194,998.01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-43.23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89,832.78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107,580.78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-16.50</w:t>
            </w:r>
          </w:p>
        </w:tc>
      </w:tr>
      <w:tr w:rsidR="002119FF" w:rsidRPr="00F251F7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2119FF" w:rsidRPr="004869A1" w:rsidRDefault="002119FF" w:rsidP="002119FF">
            <w:pPr>
              <w:pStyle w:val="Default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20,871.36</w:t>
            </w:r>
          </w:p>
        </w:tc>
        <w:tc>
          <w:tcPr>
            <w:tcW w:w="2129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87,417.22</w:t>
            </w:r>
          </w:p>
        </w:tc>
        <w:tc>
          <w:tcPr>
            <w:tcW w:w="1828" w:type="dxa"/>
            <w:vAlign w:val="center"/>
          </w:tcPr>
          <w:p w:rsidR="002119FF" w:rsidRPr="002119FF" w:rsidRDefault="002119FF" w:rsidP="0052612A">
            <w:pPr>
              <w:jc w:val="center"/>
              <w:rPr>
                <w:color w:val="000000"/>
                <w:sz w:val="24"/>
                <w:szCs w:val="24"/>
              </w:rPr>
            </w:pPr>
            <w:r w:rsidRPr="002119FF">
              <w:rPr>
                <w:rFonts w:hint="eastAsia"/>
                <w:color w:val="000000"/>
                <w:sz w:val="24"/>
                <w:szCs w:val="24"/>
              </w:rPr>
              <w:t>-76.12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D82777">
        <w:rPr>
          <w:rFonts w:ascii="宋体" w:cs="宋体"/>
          <w:kern w:val="0"/>
          <w:sz w:val="28"/>
          <w:szCs w:val="28"/>
        </w:rPr>
        <w:t>5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2119FF">
        <w:rPr>
          <w:rFonts w:ascii="宋体" w:cs="宋体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546C8A">
        <w:rPr>
          <w:rFonts w:ascii="宋体" w:cs="宋体"/>
          <w:kern w:val="0"/>
          <w:sz w:val="28"/>
          <w:szCs w:val="28"/>
        </w:rPr>
        <w:t>25</w:t>
      </w:r>
      <w:bookmarkStart w:id="0" w:name="_GoBack"/>
      <w:bookmarkEnd w:id="0"/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8B" w:rsidRDefault="0057328B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28B" w:rsidRDefault="0057328B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8B" w:rsidRDefault="0057328B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28B" w:rsidRDefault="0057328B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5640E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19FF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0002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12A"/>
    <w:rsid w:val="005268F4"/>
    <w:rsid w:val="005271D6"/>
    <w:rsid w:val="00532654"/>
    <w:rsid w:val="00546C8A"/>
    <w:rsid w:val="00551534"/>
    <w:rsid w:val="005515A9"/>
    <w:rsid w:val="00551A06"/>
    <w:rsid w:val="00555D1E"/>
    <w:rsid w:val="00561523"/>
    <w:rsid w:val="0057328B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09D4"/>
    <w:rsid w:val="00A95F6B"/>
    <w:rsid w:val="00A9666D"/>
    <w:rsid w:val="00A977A0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32EC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777"/>
    <w:rsid w:val="00D82AC6"/>
    <w:rsid w:val="00D86CEA"/>
    <w:rsid w:val="00DA1601"/>
    <w:rsid w:val="00DC59BC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2A19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551A"/>
    <w:rsid w:val="00F37823"/>
    <w:rsid w:val="00F438DF"/>
    <w:rsid w:val="00F644BB"/>
    <w:rsid w:val="00F73AAE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64F95"/>
  <w15:docId w15:val="{506A90F0-A92E-4B92-8BE5-31A0FB6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FA688D"/>
    <w:rPr>
      <w:sz w:val="18"/>
      <w:szCs w:val="18"/>
    </w:rPr>
  </w:style>
  <w:style w:type="paragraph" w:styleId="a8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23</cp:revision>
  <cp:lastPrinted>2018-07-11T07:12:00Z</cp:lastPrinted>
  <dcterms:created xsi:type="dcterms:W3CDTF">2020-07-10T00:35:00Z</dcterms:created>
  <dcterms:modified xsi:type="dcterms:W3CDTF">2025-04-17T23:54:00Z</dcterms:modified>
</cp:coreProperties>
</file>